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AF9FE" w14:textId="77777777" w:rsidR="00B224E5" w:rsidRPr="006E30FA" w:rsidRDefault="00B224E5" w:rsidP="00056383">
      <w:pPr>
        <w:spacing w:after="0" w:line="240" w:lineRule="auto"/>
        <w:ind w:left="4536"/>
        <w:contextualSpacing/>
        <w:mirrorIndents/>
        <w:jc w:val="both"/>
        <w:rPr>
          <w:rFonts w:ascii="Arial" w:hAnsi="Arial" w:cs="Arial"/>
          <w:b/>
          <w:sz w:val="24"/>
          <w:szCs w:val="24"/>
        </w:rPr>
      </w:pPr>
      <w:bookmarkStart w:id="0" w:name="_GoBack"/>
      <w:bookmarkEnd w:id="0"/>
      <w:r w:rsidRPr="006E30FA">
        <w:rPr>
          <w:rFonts w:ascii="Arial" w:hAnsi="Arial" w:cs="Arial"/>
          <w:b/>
          <w:sz w:val="24"/>
          <w:szCs w:val="24"/>
        </w:rPr>
        <w:t>Recurso de Apelación</w:t>
      </w:r>
    </w:p>
    <w:p w14:paraId="6A4EFA9B" w14:textId="77777777" w:rsidR="00996816" w:rsidRDefault="00996816" w:rsidP="00056383">
      <w:pPr>
        <w:spacing w:after="0" w:line="240" w:lineRule="auto"/>
        <w:ind w:left="4536"/>
        <w:contextualSpacing/>
        <w:mirrorIndents/>
        <w:jc w:val="both"/>
        <w:rPr>
          <w:rFonts w:ascii="Arial" w:hAnsi="Arial" w:cs="Arial"/>
          <w:b/>
          <w:sz w:val="24"/>
          <w:szCs w:val="24"/>
        </w:rPr>
      </w:pPr>
    </w:p>
    <w:p w14:paraId="49956136" w14:textId="12425E2C" w:rsidR="00B224E5" w:rsidRPr="006E30FA" w:rsidRDefault="00B224E5" w:rsidP="00056383">
      <w:pPr>
        <w:spacing w:after="0" w:line="240" w:lineRule="auto"/>
        <w:ind w:left="4536"/>
        <w:contextualSpacing/>
        <w:mirrorIndents/>
        <w:jc w:val="both"/>
        <w:rPr>
          <w:rFonts w:ascii="Arial" w:hAnsi="Arial" w:cs="Arial"/>
          <w:b/>
          <w:sz w:val="24"/>
          <w:szCs w:val="24"/>
        </w:rPr>
      </w:pPr>
      <w:r w:rsidRPr="006E30FA">
        <w:rPr>
          <w:rFonts w:ascii="Arial" w:hAnsi="Arial" w:cs="Arial"/>
          <w:b/>
          <w:sz w:val="24"/>
          <w:szCs w:val="24"/>
        </w:rPr>
        <w:t xml:space="preserve">Expediente: </w:t>
      </w:r>
      <w:r w:rsidRPr="006E30FA">
        <w:rPr>
          <w:rFonts w:ascii="Arial" w:hAnsi="Arial" w:cs="Arial"/>
          <w:sz w:val="24"/>
          <w:szCs w:val="24"/>
        </w:rPr>
        <w:t>TEEA-RAP-</w:t>
      </w:r>
      <w:r w:rsidR="00996816">
        <w:rPr>
          <w:rFonts w:ascii="Arial" w:hAnsi="Arial" w:cs="Arial"/>
          <w:sz w:val="24"/>
          <w:szCs w:val="24"/>
        </w:rPr>
        <w:t>0</w:t>
      </w:r>
      <w:r w:rsidRPr="006E30FA">
        <w:rPr>
          <w:rFonts w:ascii="Arial" w:hAnsi="Arial" w:cs="Arial"/>
          <w:sz w:val="24"/>
          <w:szCs w:val="24"/>
        </w:rPr>
        <w:t>2</w:t>
      </w:r>
      <w:r w:rsidR="00996816">
        <w:rPr>
          <w:rFonts w:ascii="Arial" w:hAnsi="Arial" w:cs="Arial"/>
          <w:sz w:val="24"/>
          <w:szCs w:val="24"/>
        </w:rPr>
        <w:t>5</w:t>
      </w:r>
      <w:r w:rsidRPr="006E30FA">
        <w:rPr>
          <w:rFonts w:ascii="Arial" w:hAnsi="Arial" w:cs="Arial"/>
          <w:sz w:val="24"/>
          <w:szCs w:val="24"/>
        </w:rPr>
        <w:t>/2019</w:t>
      </w:r>
      <w:r w:rsidRPr="001D2506">
        <w:rPr>
          <w:rFonts w:ascii="Arial" w:hAnsi="Arial" w:cs="Arial"/>
          <w:sz w:val="24"/>
          <w:szCs w:val="24"/>
        </w:rPr>
        <w:t>.</w:t>
      </w:r>
    </w:p>
    <w:p w14:paraId="2320DEC8" w14:textId="77777777" w:rsidR="00996816" w:rsidRDefault="00996816" w:rsidP="00056383">
      <w:pPr>
        <w:spacing w:after="0" w:line="240" w:lineRule="auto"/>
        <w:ind w:left="4536"/>
        <w:contextualSpacing/>
        <w:mirrorIndents/>
        <w:jc w:val="both"/>
        <w:rPr>
          <w:rFonts w:ascii="Arial" w:hAnsi="Arial" w:cs="Arial"/>
          <w:b/>
          <w:sz w:val="24"/>
          <w:szCs w:val="24"/>
        </w:rPr>
      </w:pPr>
    </w:p>
    <w:p w14:paraId="02BF2997" w14:textId="33935551" w:rsidR="00B224E5" w:rsidRPr="006E30FA" w:rsidRDefault="00B224E5" w:rsidP="00056383">
      <w:pPr>
        <w:spacing w:after="0" w:line="240" w:lineRule="auto"/>
        <w:ind w:left="4536"/>
        <w:contextualSpacing/>
        <w:mirrorIndents/>
        <w:jc w:val="both"/>
        <w:rPr>
          <w:rFonts w:ascii="Arial" w:hAnsi="Arial" w:cs="Arial"/>
          <w:b/>
          <w:sz w:val="24"/>
          <w:szCs w:val="24"/>
        </w:rPr>
      </w:pPr>
      <w:r w:rsidRPr="006E30FA">
        <w:rPr>
          <w:rFonts w:ascii="Arial" w:hAnsi="Arial" w:cs="Arial"/>
          <w:b/>
          <w:sz w:val="24"/>
          <w:szCs w:val="24"/>
        </w:rPr>
        <w:t xml:space="preserve">Promovente: </w:t>
      </w:r>
      <w:r w:rsidR="004C0363" w:rsidRPr="004C0363">
        <w:rPr>
          <w:rFonts w:ascii="Arial" w:hAnsi="Arial" w:cs="Arial"/>
          <w:bCs/>
          <w:sz w:val="24"/>
          <w:szCs w:val="24"/>
        </w:rPr>
        <w:t>Partido Libre de Aguascalientes, por conducto de su presidenta</w:t>
      </w:r>
      <w:r w:rsidRPr="006E30FA">
        <w:rPr>
          <w:rFonts w:ascii="Arial" w:hAnsi="Arial" w:cs="Arial"/>
          <w:sz w:val="24"/>
          <w:szCs w:val="24"/>
        </w:rPr>
        <w:t xml:space="preserve">. </w:t>
      </w:r>
    </w:p>
    <w:p w14:paraId="4EE1F991" w14:textId="77777777" w:rsidR="00996816" w:rsidRDefault="00996816" w:rsidP="00056383">
      <w:pPr>
        <w:spacing w:after="0" w:line="240" w:lineRule="auto"/>
        <w:ind w:left="4536"/>
        <w:contextualSpacing/>
        <w:mirrorIndents/>
        <w:jc w:val="both"/>
        <w:rPr>
          <w:rFonts w:ascii="Arial" w:hAnsi="Arial" w:cs="Arial"/>
          <w:b/>
          <w:sz w:val="24"/>
          <w:szCs w:val="24"/>
        </w:rPr>
      </w:pPr>
    </w:p>
    <w:p w14:paraId="7AAB3894" w14:textId="3F0F7400" w:rsidR="00B224E5" w:rsidRPr="006E30FA" w:rsidRDefault="00B224E5" w:rsidP="00056383">
      <w:pPr>
        <w:spacing w:after="0" w:line="240" w:lineRule="auto"/>
        <w:ind w:left="4536"/>
        <w:contextualSpacing/>
        <w:mirrorIndents/>
        <w:jc w:val="both"/>
        <w:rPr>
          <w:rFonts w:ascii="Arial" w:hAnsi="Arial" w:cs="Arial"/>
          <w:b/>
          <w:sz w:val="24"/>
          <w:szCs w:val="24"/>
        </w:rPr>
      </w:pPr>
      <w:r w:rsidRPr="006E30FA">
        <w:rPr>
          <w:rFonts w:ascii="Arial" w:hAnsi="Arial" w:cs="Arial"/>
          <w:b/>
          <w:sz w:val="24"/>
          <w:szCs w:val="24"/>
        </w:rPr>
        <w:t xml:space="preserve">Autoridad Responsable: </w:t>
      </w:r>
      <w:r w:rsidRPr="006E30FA">
        <w:rPr>
          <w:rFonts w:ascii="Arial" w:hAnsi="Arial" w:cs="Arial"/>
          <w:sz w:val="24"/>
          <w:szCs w:val="24"/>
        </w:rPr>
        <w:t>Consejo General del Instituto Estatal Electoral de Aguascalientes.</w:t>
      </w:r>
    </w:p>
    <w:p w14:paraId="266801EB" w14:textId="77777777" w:rsidR="00996816" w:rsidRDefault="00996816" w:rsidP="00056383">
      <w:pPr>
        <w:spacing w:after="0" w:line="240" w:lineRule="auto"/>
        <w:ind w:left="4536"/>
        <w:contextualSpacing/>
        <w:mirrorIndents/>
        <w:jc w:val="both"/>
        <w:rPr>
          <w:rFonts w:ascii="Arial" w:hAnsi="Arial" w:cs="Arial"/>
          <w:b/>
          <w:sz w:val="24"/>
          <w:szCs w:val="24"/>
        </w:rPr>
      </w:pPr>
    </w:p>
    <w:p w14:paraId="15A684D9" w14:textId="46C83AF7" w:rsidR="00B224E5" w:rsidRPr="006E30FA" w:rsidRDefault="00B224E5" w:rsidP="00056383">
      <w:pPr>
        <w:spacing w:after="0" w:line="240" w:lineRule="auto"/>
        <w:ind w:left="4536"/>
        <w:contextualSpacing/>
        <w:mirrorIndents/>
        <w:jc w:val="both"/>
        <w:rPr>
          <w:rFonts w:ascii="Arial" w:hAnsi="Arial" w:cs="Arial"/>
          <w:b/>
          <w:sz w:val="24"/>
          <w:szCs w:val="24"/>
        </w:rPr>
      </w:pPr>
      <w:r w:rsidRPr="006E30FA">
        <w:rPr>
          <w:rFonts w:ascii="Arial" w:hAnsi="Arial" w:cs="Arial"/>
          <w:b/>
          <w:sz w:val="24"/>
          <w:szCs w:val="24"/>
        </w:rPr>
        <w:t>Magistrad</w:t>
      </w:r>
      <w:r w:rsidR="00996816">
        <w:rPr>
          <w:rFonts w:ascii="Arial" w:hAnsi="Arial" w:cs="Arial"/>
          <w:b/>
          <w:sz w:val="24"/>
          <w:szCs w:val="24"/>
        </w:rPr>
        <w:t>o</w:t>
      </w:r>
      <w:r w:rsidRPr="006E30FA">
        <w:rPr>
          <w:rFonts w:ascii="Arial" w:hAnsi="Arial" w:cs="Arial"/>
          <w:b/>
          <w:sz w:val="24"/>
          <w:szCs w:val="24"/>
        </w:rPr>
        <w:t xml:space="preserve"> </w:t>
      </w:r>
      <w:r w:rsidR="004C0363">
        <w:rPr>
          <w:rFonts w:ascii="Arial" w:hAnsi="Arial" w:cs="Arial"/>
          <w:b/>
          <w:sz w:val="24"/>
          <w:szCs w:val="24"/>
        </w:rPr>
        <w:t>P</w:t>
      </w:r>
      <w:r w:rsidRPr="006E30FA">
        <w:rPr>
          <w:rFonts w:ascii="Arial" w:hAnsi="Arial" w:cs="Arial"/>
          <w:b/>
          <w:sz w:val="24"/>
          <w:szCs w:val="24"/>
        </w:rPr>
        <w:t xml:space="preserve">onente: </w:t>
      </w:r>
      <w:r w:rsidR="00996816">
        <w:rPr>
          <w:rFonts w:ascii="Arial" w:hAnsi="Arial" w:cs="Arial"/>
          <w:sz w:val="24"/>
          <w:szCs w:val="24"/>
        </w:rPr>
        <w:t>Jorge Ramón Díaz de León Gutiérrez</w:t>
      </w:r>
      <w:r w:rsidRPr="006E30FA">
        <w:rPr>
          <w:rFonts w:ascii="Arial" w:hAnsi="Arial" w:cs="Arial"/>
          <w:sz w:val="24"/>
          <w:szCs w:val="24"/>
        </w:rPr>
        <w:t xml:space="preserve">. </w:t>
      </w:r>
    </w:p>
    <w:p w14:paraId="48861831" w14:textId="77777777" w:rsidR="00996816" w:rsidRDefault="00996816" w:rsidP="00056383">
      <w:pPr>
        <w:spacing w:after="0" w:line="240" w:lineRule="auto"/>
        <w:ind w:left="4536"/>
        <w:contextualSpacing/>
        <w:mirrorIndents/>
        <w:jc w:val="both"/>
        <w:rPr>
          <w:rFonts w:ascii="Arial" w:hAnsi="Arial" w:cs="Arial"/>
          <w:b/>
          <w:sz w:val="24"/>
          <w:szCs w:val="24"/>
        </w:rPr>
      </w:pPr>
    </w:p>
    <w:p w14:paraId="304345C9" w14:textId="27E8DEF7" w:rsidR="00B224E5" w:rsidRPr="006E30FA" w:rsidRDefault="00B224E5" w:rsidP="00056383">
      <w:pPr>
        <w:spacing w:after="0" w:line="240" w:lineRule="auto"/>
        <w:ind w:left="4536"/>
        <w:contextualSpacing/>
        <w:mirrorIndents/>
        <w:jc w:val="both"/>
        <w:rPr>
          <w:rFonts w:ascii="Arial" w:hAnsi="Arial" w:cs="Arial"/>
          <w:sz w:val="24"/>
          <w:szCs w:val="24"/>
        </w:rPr>
      </w:pPr>
      <w:r w:rsidRPr="006E30FA">
        <w:rPr>
          <w:rFonts w:ascii="Arial" w:hAnsi="Arial" w:cs="Arial"/>
          <w:b/>
          <w:sz w:val="24"/>
          <w:szCs w:val="24"/>
        </w:rPr>
        <w:t>Secretari</w:t>
      </w:r>
      <w:r w:rsidR="00996816">
        <w:rPr>
          <w:rFonts w:ascii="Arial" w:hAnsi="Arial" w:cs="Arial"/>
          <w:b/>
          <w:sz w:val="24"/>
          <w:szCs w:val="24"/>
        </w:rPr>
        <w:t>a</w:t>
      </w:r>
      <w:r w:rsidRPr="006E30FA">
        <w:rPr>
          <w:rFonts w:ascii="Arial" w:hAnsi="Arial" w:cs="Arial"/>
          <w:b/>
          <w:sz w:val="24"/>
          <w:szCs w:val="24"/>
        </w:rPr>
        <w:t xml:space="preserve"> de Estudio: </w:t>
      </w:r>
      <w:r w:rsidR="00996816">
        <w:rPr>
          <w:rFonts w:ascii="Arial" w:hAnsi="Arial" w:cs="Arial"/>
          <w:sz w:val="24"/>
          <w:szCs w:val="24"/>
        </w:rPr>
        <w:t>Cindy Cristina Macías Avelar.</w:t>
      </w:r>
    </w:p>
    <w:p w14:paraId="4B3D792E" w14:textId="77777777" w:rsidR="00996816" w:rsidRDefault="00996816" w:rsidP="00056383">
      <w:pPr>
        <w:spacing w:after="0" w:line="240" w:lineRule="auto"/>
        <w:ind w:left="4536"/>
        <w:contextualSpacing/>
        <w:mirrorIndents/>
        <w:jc w:val="both"/>
        <w:rPr>
          <w:rFonts w:ascii="Arial" w:hAnsi="Arial" w:cs="Arial"/>
          <w:b/>
          <w:sz w:val="24"/>
          <w:szCs w:val="24"/>
        </w:rPr>
      </w:pPr>
    </w:p>
    <w:p w14:paraId="1FD8F867" w14:textId="41A3950D" w:rsidR="00B224E5" w:rsidRPr="006E30FA" w:rsidRDefault="00B224E5" w:rsidP="00056383">
      <w:pPr>
        <w:spacing w:after="0" w:line="240" w:lineRule="auto"/>
        <w:ind w:left="4536"/>
        <w:contextualSpacing/>
        <w:mirrorIndents/>
        <w:jc w:val="both"/>
        <w:rPr>
          <w:rFonts w:ascii="Arial" w:hAnsi="Arial" w:cs="Arial"/>
          <w:sz w:val="24"/>
          <w:szCs w:val="24"/>
        </w:rPr>
      </w:pPr>
      <w:r w:rsidRPr="006E30FA">
        <w:rPr>
          <w:rFonts w:ascii="Arial" w:hAnsi="Arial" w:cs="Arial"/>
          <w:b/>
          <w:sz w:val="24"/>
          <w:szCs w:val="24"/>
        </w:rPr>
        <w:t>Secretario Jurídico Auxiliar:</w:t>
      </w:r>
      <w:r w:rsidRPr="006E30FA">
        <w:rPr>
          <w:rFonts w:ascii="Arial" w:hAnsi="Arial" w:cs="Arial"/>
          <w:sz w:val="24"/>
          <w:szCs w:val="24"/>
        </w:rPr>
        <w:t xml:space="preserve"> </w:t>
      </w:r>
      <w:r w:rsidR="00996816">
        <w:rPr>
          <w:rFonts w:ascii="Arial" w:hAnsi="Arial" w:cs="Arial"/>
          <w:sz w:val="24"/>
          <w:szCs w:val="24"/>
        </w:rPr>
        <w:t>Rodrigo Temoc Villagrán Hernández</w:t>
      </w:r>
      <w:r w:rsidRPr="006E30FA">
        <w:rPr>
          <w:rFonts w:ascii="Arial" w:hAnsi="Arial" w:cs="Arial"/>
          <w:sz w:val="24"/>
          <w:szCs w:val="24"/>
        </w:rPr>
        <w:t xml:space="preserve">. </w:t>
      </w:r>
    </w:p>
    <w:p w14:paraId="56EFCE14" w14:textId="77777777" w:rsidR="00147FCF" w:rsidRPr="006E30FA" w:rsidRDefault="00147FCF" w:rsidP="00056383">
      <w:pPr>
        <w:pStyle w:val="NormalWeb"/>
        <w:spacing w:before="0" w:beforeAutospacing="0" w:after="0" w:afterAutospacing="0" w:line="360" w:lineRule="auto"/>
        <w:ind w:left="-283" w:right="-283"/>
        <w:contextualSpacing/>
        <w:mirrorIndents/>
        <w:jc w:val="right"/>
        <w:rPr>
          <w:rFonts w:ascii="Arial" w:hAnsi="Arial" w:cs="Arial"/>
          <w:color w:val="000000"/>
        </w:rPr>
      </w:pPr>
      <w:bookmarkStart w:id="1" w:name="_Hlk499556789"/>
    </w:p>
    <w:p w14:paraId="5C925615" w14:textId="6CF29D08" w:rsidR="00B224E5" w:rsidRPr="006E30FA" w:rsidRDefault="00B224E5" w:rsidP="00056383">
      <w:pPr>
        <w:pStyle w:val="NormalWeb"/>
        <w:spacing w:before="0" w:beforeAutospacing="0" w:after="0" w:afterAutospacing="0" w:line="360" w:lineRule="auto"/>
        <w:ind w:left="-283" w:right="-283" w:firstLine="283"/>
        <w:contextualSpacing/>
        <w:mirrorIndents/>
        <w:rPr>
          <w:rFonts w:ascii="Arial" w:hAnsi="Arial" w:cs="Arial"/>
          <w:color w:val="000000"/>
        </w:rPr>
      </w:pPr>
      <w:r w:rsidRPr="006E30FA">
        <w:rPr>
          <w:rFonts w:ascii="Arial" w:hAnsi="Arial" w:cs="Arial"/>
          <w:color w:val="000000"/>
        </w:rPr>
        <w:t xml:space="preserve">Aguascalientes, Aguascalientes, a </w:t>
      </w:r>
      <w:r w:rsidR="005C14EC">
        <w:rPr>
          <w:rFonts w:ascii="Arial" w:hAnsi="Arial" w:cs="Arial"/>
          <w:color w:val="000000"/>
        </w:rPr>
        <w:t>once</w:t>
      </w:r>
      <w:r w:rsidRPr="006E30FA">
        <w:rPr>
          <w:rFonts w:ascii="Arial" w:hAnsi="Arial" w:cs="Arial"/>
        </w:rPr>
        <w:t xml:space="preserve"> </w:t>
      </w:r>
      <w:r w:rsidRPr="006E30FA">
        <w:rPr>
          <w:rFonts w:ascii="Arial" w:hAnsi="Arial" w:cs="Arial"/>
          <w:color w:val="000000"/>
        </w:rPr>
        <w:t xml:space="preserve">de </w:t>
      </w:r>
      <w:r w:rsidR="00C52EC1" w:rsidRPr="008830FC">
        <w:rPr>
          <w:rFonts w:ascii="Arial" w:hAnsi="Arial" w:cs="Arial"/>
          <w:color w:val="000000"/>
        </w:rPr>
        <w:t>dic</w:t>
      </w:r>
      <w:r w:rsidRPr="008830FC">
        <w:rPr>
          <w:rFonts w:ascii="Arial" w:hAnsi="Arial" w:cs="Arial"/>
          <w:color w:val="000000"/>
        </w:rPr>
        <w:t>iembre</w:t>
      </w:r>
      <w:r w:rsidRPr="006E30FA">
        <w:rPr>
          <w:rFonts w:ascii="Arial" w:hAnsi="Arial" w:cs="Arial"/>
          <w:color w:val="000000"/>
        </w:rPr>
        <w:t xml:space="preserve"> de dos mil diecinueve.</w:t>
      </w:r>
    </w:p>
    <w:p w14:paraId="74FD4DA6" w14:textId="77777777" w:rsidR="00B224E5" w:rsidRPr="006E30FA" w:rsidRDefault="00B224E5" w:rsidP="00056383">
      <w:pPr>
        <w:pStyle w:val="NormalWeb"/>
        <w:spacing w:before="0" w:beforeAutospacing="0" w:after="0" w:afterAutospacing="0" w:line="360" w:lineRule="auto"/>
        <w:ind w:left="-283" w:right="-283"/>
        <w:contextualSpacing/>
        <w:mirrorIndents/>
        <w:jc w:val="both"/>
        <w:rPr>
          <w:rFonts w:ascii="Arial" w:hAnsi="Arial" w:cs="Arial"/>
          <w:b/>
          <w:color w:val="000000"/>
        </w:rPr>
      </w:pPr>
    </w:p>
    <w:bookmarkEnd w:id="1"/>
    <w:p w14:paraId="3498DA55" w14:textId="3797E295" w:rsidR="00B224E5" w:rsidRPr="006E30FA" w:rsidRDefault="00B224E5" w:rsidP="00056383">
      <w:pPr>
        <w:pStyle w:val="NormalWeb"/>
        <w:spacing w:before="0" w:beforeAutospacing="0" w:after="0" w:afterAutospacing="0" w:line="360" w:lineRule="auto"/>
        <w:contextualSpacing/>
        <w:mirrorIndents/>
        <w:jc w:val="both"/>
        <w:rPr>
          <w:rFonts w:ascii="Arial" w:hAnsi="Arial" w:cs="Arial"/>
        </w:rPr>
      </w:pPr>
      <w:r w:rsidRPr="006E30FA">
        <w:rPr>
          <w:rFonts w:ascii="Arial" w:hAnsi="Arial" w:cs="Arial"/>
          <w:b/>
        </w:rPr>
        <w:t>Sentencia definitiva</w:t>
      </w:r>
      <w:r w:rsidRPr="006E30FA">
        <w:rPr>
          <w:rFonts w:ascii="Arial" w:hAnsi="Arial" w:cs="Arial"/>
        </w:rPr>
        <w:t xml:space="preserve">, que </w:t>
      </w:r>
      <w:r w:rsidR="004C0363">
        <w:rPr>
          <w:rFonts w:ascii="Arial" w:hAnsi="Arial" w:cs="Arial"/>
          <w:b/>
        </w:rPr>
        <w:t xml:space="preserve">confirma </w:t>
      </w:r>
      <w:r w:rsidRPr="006E30FA">
        <w:rPr>
          <w:rFonts w:ascii="Arial" w:hAnsi="Arial" w:cs="Arial"/>
        </w:rPr>
        <w:t xml:space="preserve">el acuerdo </w:t>
      </w:r>
      <w:r w:rsidRPr="006E30FA">
        <w:rPr>
          <w:rFonts w:ascii="Arial" w:hAnsi="Arial" w:cs="Arial"/>
          <w:b/>
        </w:rPr>
        <w:t>CG-A-</w:t>
      </w:r>
      <w:r w:rsidR="004C0363">
        <w:rPr>
          <w:rFonts w:ascii="Arial" w:hAnsi="Arial" w:cs="Arial"/>
          <w:b/>
        </w:rPr>
        <w:t>53</w:t>
      </w:r>
      <w:r w:rsidRPr="006E30FA">
        <w:rPr>
          <w:rFonts w:ascii="Arial" w:hAnsi="Arial" w:cs="Arial"/>
          <w:b/>
        </w:rPr>
        <w:t xml:space="preserve">/19, </w:t>
      </w:r>
      <w:r w:rsidRPr="006E30FA">
        <w:rPr>
          <w:rFonts w:ascii="Arial" w:hAnsi="Arial" w:cs="Arial"/>
        </w:rPr>
        <w:t>dictada por el Consejo General del Instituto Estatal Electoral de Aguascalientes.</w:t>
      </w:r>
    </w:p>
    <w:p w14:paraId="66FCC0A0" w14:textId="77777777" w:rsidR="00B224E5" w:rsidRPr="006E30FA" w:rsidRDefault="00B224E5" w:rsidP="00056383">
      <w:pPr>
        <w:pStyle w:val="NormalWeb"/>
        <w:spacing w:before="0" w:beforeAutospacing="0" w:after="0" w:afterAutospacing="0" w:line="360" w:lineRule="auto"/>
        <w:contextualSpacing/>
        <w:mirrorIndents/>
        <w:jc w:val="both"/>
        <w:rPr>
          <w:rFonts w:ascii="Arial" w:hAnsi="Arial" w:cs="Arial"/>
        </w:rPr>
      </w:pPr>
      <w:r w:rsidRPr="006E30FA">
        <w:rPr>
          <w:rFonts w:ascii="Arial" w:hAnsi="Arial" w:cs="Arial"/>
        </w:rPr>
        <w:t xml:space="preserve"> </w:t>
      </w:r>
    </w:p>
    <w:p w14:paraId="09769A7D" w14:textId="77777777" w:rsidR="00B224E5" w:rsidRPr="006E30FA" w:rsidRDefault="00B224E5" w:rsidP="00056383">
      <w:pPr>
        <w:pStyle w:val="NormalWeb"/>
        <w:spacing w:before="0" w:beforeAutospacing="0" w:after="0" w:afterAutospacing="0" w:line="360" w:lineRule="auto"/>
        <w:contextualSpacing/>
        <w:mirrorIndents/>
        <w:jc w:val="center"/>
        <w:rPr>
          <w:rFonts w:ascii="Arial" w:hAnsi="Arial" w:cs="Arial"/>
          <w:b/>
          <w:sz w:val="20"/>
          <w:szCs w:val="20"/>
        </w:rPr>
      </w:pPr>
      <w:r w:rsidRPr="006E30FA">
        <w:rPr>
          <w:rFonts w:ascii="Arial" w:hAnsi="Arial" w:cs="Arial"/>
          <w:b/>
          <w:sz w:val="20"/>
          <w:szCs w:val="20"/>
        </w:rPr>
        <w:t>GLOSARIO</w:t>
      </w:r>
    </w:p>
    <w:tbl>
      <w:tblPr>
        <w:tblStyle w:val="Tablaconcuadrcul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5671"/>
      </w:tblGrid>
      <w:tr w:rsidR="00B224E5" w:rsidRPr="006E30FA" w14:paraId="509B5910" w14:textId="77777777" w:rsidTr="008830FC">
        <w:trPr>
          <w:trHeight w:val="374"/>
        </w:trPr>
        <w:tc>
          <w:tcPr>
            <w:tcW w:w="2409" w:type="dxa"/>
            <w:hideMark/>
          </w:tcPr>
          <w:p w14:paraId="26115127" w14:textId="59BB68D0" w:rsidR="00B224E5" w:rsidRPr="004C0363" w:rsidRDefault="00B224E5" w:rsidP="00056383">
            <w:pPr>
              <w:pStyle w:val="NormalWeb"/>
              <w:spacing w:before="0" w:beforeAutospacing="0" w:after="0" w:afterAutospacing="0"/>
              <w:ind w:right="-45"/>
              <w:contextualSpacing/>
              <w:mirrorIndents/>
              <w:jc w:val="right"/>
              <w:rPr>
                <w:rFonts w:ascii="Arial" w:hAnsi="Arial" w:cs="Arial"/>
                <w:b/>
                <w:sz w:val="20"/>
                <w:szCs w:val="20"/>
                <w:lang w:eastAsia="en-US"/>
              </w:rPr>
            </w:pPr>
            <w:r w:rsidRPr="004C0363">
              <w:rPr>
                <w:rFonts w:ascii="Arial" w:hAnsi="Arial" w:cs="Arial"/>
                <w:b/>
                <w:sz w:val="20"/>
                <w:szCs w:val="20"/>
                <w:lang w:eastAsia="en-US"/>
              </w:rPr>
              <w:t>P</w:t>
            </w:r>
            <w:r w:rsidR="004C0363" w:rsidRPr="004C0363">
              <w:rPr>
                <w:rFonts w:ascii="Arial" w:hAnsi="Arial" w:cs="Arial"/>
                <w:b/>
                <w:sz w:val="20"/>
                <w:szCs w:val="20"/>
                <w:lang w:eastAsia="en-US"/>
              </w:rPr>
              <w:t>LA:</w:t>
            </w:r>
          </w:p>
        </w:tc>
        <w:tc>
          <w:tcPr>
            <w:tcW w:w="5671" w:type="dxa"/>
          </w:tcPr>
          <w:p w14:paraId="0163114D" w14:textId="0F1CBE82" w:rsidR="00B224E5" w:rsidRPr="004C0363" w:rsidRDefault="00B224E5"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4C0363">
              <w:rPr>
                <w:rFonts w:ascii="Arial" w:hAnsi="Arial" w:cs="Arial"/>
                <w:sz w:val="20"/>
                <w:szCs w:val="20"/>
                <w:lang w:eastAsia="en-US"/>
              </w:rPr>
              <w:t xml:space="preserve">Partido </w:t>
            </w:r>
            <w:r w:rsidR="004C0363" w:rsidRPr="004C0363">
              <w:rPr>
                <w:rFonts w:ascii="Arial" w:hAnsi="Arial" w:cs="Arial"/>
                <w:sz w:val="20"/>
                <w:szCs w:val="20"/>
                <w:lang w:eastAsia="en-US"/>
              </w:rPr>
              <w:t>Libre de Aguascalientes.</w:t>
            </w:r>
          </w:p>
        </w:tc>
      </w:tr>
      <w:tr w:rsidR="004C0363" w:rsidRPr="00684438" w14:paraId="0537916F" w14:textId="77777777" w:rsidTr="008830FC">
        <w:trPr>
          <w:trHeight w:val="374"/>
        </w:trPr>
        <w:tc>
          <w:tcPr>
            <w:tcW w:w="2409" w:type="dxa"/>
          </w:tcPr>
          <w:p w14:paraId="5E32415E" w14:textId="784039EE" w:rsidR="004C0363" w:rsidRPr="00684438" w:rsidRDefault="004C0363" w:rsidP="00056383">
            <w:pPr>
              <w:pStyle w:val="NormalWeb"/>
              <w:spacing w:before="0" w:beforeAutospacing="0" w:after="0" w:afterAutospacing="0"/>
              <w:ind w:right="-45"/>
              <w:contextualSpacing/>
              <w:mirrorIndents/>
              <w:jc w:val="right"/>
              <w:rPr>
                <w:rFonts w:ascii="Arial" w:hAnsi="Arial" w:cs="Arial"/>
                <w:b/>
                <w:sz w:val="20"/>
                <w:szCs w:val="20"/>
                <w:lang w:eastAsia="en-US"/>
              </w:rPr>
            </w:pPr>
            <w:r w:rsidRPr="00684438">
              <w:rPr>
                <w:rFonts w:ascii="Arial" w:hAnsi="Arial" w:cs="Arial"/>
                <w:b/>
                <w:sz w:val="20"/>
                <w:szCs w:val="20"/>
                <w:lang w:eastAsia="en-US"/>
              </w:rPr>
              <w:t>PVEM:</w:t>
            </w:r>
          </w:p>
        </w:tc>
        <w:tc>
          <w:tcPr>
            <w:tcW w:w="5671" w:type="dxa"/>
          </w:tcPr>
          <w:p w14:paraId="4902A317" w14:textId="52FB5B77" w:rsidR="004C0363" w:rsidRPr="00684438"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684438">
              <w:rPr>
                <w:rFonts w:ascii="Arial" w:hAnsi="Arial" w:cs="Arial"/>
                <w:sz w:val="20"/>
                <w:szCs w:val="20"/>
                <w:lang w:eastAsia="en-US"/>
              </w:rPr>
              <w:t>Partido Verde Ecologista de México.</w:t>
            </w:r>
          </w:p>
        </w:tc>
      </w:tr>
      <w:tr w:rsidR="004C0363" w:rsidRPr="00684438" w14:paraId="79B8452A" w14:textId="77777777" w:rsidTr="008830FC">
        <w:trPr>
          <w:trHeight w:val="374"/>
        </w:trPr>
        <w:tc>
          <w:tcPr>
            <w:tcW w:w="2409" w:type="dxa"/>
          </w:tcPr>
          <w:p w14:paraId="72B4AD74" w14:textId="77777777" w:rsidR="004C0363" w:rsidRPr="00684438" w:rsidRDefault="004C0363" w:rsidP="00056383">
            <w:pPr>
              <w:pStyle w:val="NormalWeb"/>
              <w:spacing w:before="0" w:beforeAutospacing="0" w:after="0" w:afterAutospacing="0"/>
              <w:ind w:right="-45"/>
              <w:contextualSpacing/>
              <w:mirrorIndents/>
              <w:jc w:val="right"/>
              <w:rPr>
                <w:rFonts w:ascii="Arial" w:hAnsi="Arial" w:cs="Arial"/>
                <w:b/>
                <w:sz w:val="20"/>
                <w:szCs w:val="20"/>
                <w:lang w:eastAsia="en-US"/>
              </w:rPr>
            </w:pPr>
            <w:r w:rsidRPr="00684438">
              <w:rPr>
                <w:rFonts w:ascii="Arial" w:hAnsi="Arial" w:cs="Arial"/>
                <w:b/>
                <w:sz w:val="20"/>
                <w:szCs w:val="20"/>
                <w:lang w:eastAsia="en-US"/>
              </w:rPr>
              <w:t>PRI:</w:t>
            </w:r>
          </w:p>
        </w:tc>
        <w:tc>
          <w:tcPr>
            <w:tcW w:w="5671" w:type="dxa"/>
          </w:tcPr>
          <w:p w14:paraId="186F1D00" w14:textId="77777777" w:rsidR="004C0363" w:rsidRPr="00684438"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684438">
              <w:rPr>
                <w:rFonts w:ascii="Arial" w:hAnsi="Arial" w:cs="Arial"/>
                <w:sz w:val="20"/>
                <w:szCs w:val="20"/>
                <w:lang w:eastAsia="en-US"/>
              </w:rPr>
              <w:t>Partido Revolucionario Institucional.</w:t>
            </w:r>
          </w:p>
        </w:tc>
      </w:tr>
      <w:tr w:rsidR="004C0363" w:rsidRPr="00684438" w14:paraId="352DD13F" w14:textId="77777777" w:rsidTr="008830FC">
        <w:trPr>
          <w:trHeight w:val="374"/>
        </w:trPr>
        <w:tc>
          <w:tcPr>
            <w:tcW w:w="2409" w:type="dxa"/>
          </w:tcPr>
          <w:p w14:paraId="2D4256FE" w14:textId="77777777" w:rsidR="004C0363" w:rsidRPr="00684438" w:rsidRDefault="004C0363" w:rsidP="00056383">
            <w:pPr>
              <w:pStyle w:val="NormalWeb"/>
              <w:spacing w:before="0" w:beforeAutospacing="0" w:after="0" w:afterAutospacing="0"/>
              <w:ind w:right="-45"/>
              <w:contextualSpacing/>
              <w:mirrorIndents/>
              <w:jc w:val="right"/>
              <w:rPr>
                <w:rFonts w:ascii="Arial" w:hAnsi="Arial" w:cs="Arial"/>
                <w:b/>
                <w:sz w:val="20"/>
                <w:szCs w:val="20"/>
                <w:lang w:eastAsia="en-US"/>
              </w:rPr>
            </w:pPr>
            <w:r w:rsidRPr="00684438">
              <w:rPr>
                <w:rFonts w:ascii="Arial" w:hAnsi="Arial" w:cs="Arial"/>
                <w:b/>
                <w:sz w:val="20"/>
                <w:szCs w:val="20"/>
                <w:lang w:eastAsia="en-US"/>
              </w:rPr>
              <w:t>MORENA:</w:t>
            </w:r>
          </w:p>
        </w:tc>
        <w:tc>
          <w:tcPr>
            <w:tcW w:w="5671" w:type="dxa"/>
          </w:tcPr>
          <w:p w14:paraId="65101621" w14:textId="77777777" w:rsidR="004C0363" w:rsidRPr="00684438"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684438">
              <w:rPr>
                <w:rFonts w:ascii="Arial" w:hAnsi="Arial" w:cs="Arial"/>
                <w:sz w:val="20"/>
                <w:szCs w:val="20"/>
                <w:lang w:eastAsia="en-US"/>
              </w:rPr>
              <w:t>Partido Político MORENA.</w:t>
            </w:r>
          </w:p>
        </w:tc>
      </w:tr>
      <w:tr w:rsidR="004C0363" w:rsidRPr="006E30FA" w14:paraId="35FED0D1" w14:textId="77777777" w:rsidTr="008830FC">
        <w:trPr>
          <w:trHeight w:val="374"/>
        </w:trPr>
        <w:tc>
          <w:tcPr>
            <w:tcW w:w="2409" w:type="dxa"/>
          </w:tcPr>
          <w:p w14:paraId="39C12EE3" w14:textId="77777777" w:rsidR="004C0363" w:rsidRPr="00CC20EB" w:rsidRDefault="004C0363" w:rsidP="00056383">
            <w:pPr>
              <w:pStyle w:val="NormalWeb"/>
              <w:spacing w:before="0" w:beforeAutospacing="0" w:after="0" w:afterAutospacing="0"/>
              <w:ind w:right="-45"/>
              <w:contextualSpacing/>
              <w:mirrorIndents/>
              <w:jc w:val="right"/>
              <w:rPr>
                <w:rFonts w:ascii="Arial" w:hAnsi="Arial" w:cs="Arial"/>
                <w:b/>
                <w:sz w:val="20"/>
                <w:szCs w:val="20"/>
                <w:lang w:eastAsia="en-US"/>
              </w:rPr>
            </w:pPr>
            <w:r w:rsidRPr="00CC20EB">
              <w:rPr>
                <w:rFonts w:ascii="Arial" w:hAnsi="Arial" w:cs="Arial"/>
                <w:b/>
                <w:sz w:val="20"/>
                <w:szCs w:val="20"/>
                <w:lang w:eastAsia="en-US"/>
              </w:rPr>
              <w:t>PT:</w:t>
            </w:r>
          </w:p>
        </w:tc>
        <w:tc>
          <w:tcPr>
            <w:tcW w:w="5671" w:type="dxa"/>
          </w:tcPr>
          <w:p w14:paraId="43307B81" w14:textId="77777777" w:rsidR="004C0363" w:rsidRPr="00CC20EB"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CC20EB">
              <w:rPr>
                <w:rFonts w:ascii="Arial" w:hAnsi="Arial" w:cs="Arial"/>
                <w:sz w:val="20"/>
                <w:szCs w:val="20"/>
                <w:lang w:eastAsia="en-US"/>
              </w:rPr>
              <w:t>Partido del Trabajo.</w:t>
            </w:r>
          </w:p>
        </w:tc>
      </w:tr>
      <w:tr w:rsidR="004C0363" w:rsidRPr="006E30FA" w14:paraId="75724D3D" w14:textId="77777777" w:rsidTr="008830FC">
        <w:trPr>
          <w:trHeight w:val="374"/>
        </w:trPr>
        <w:tc>
          <w:tcPr>
            <w:tcW w:w="2409" w:type="dxa"/>
          </w:tcPr>
          <w:p w14:paraId="0B9DAA4F" w14:textId="77777777" w:rsidR="004C0363" w:rsidRPr="00CC20EB" w:rsidRDefault="004C0363" w:rsidP="00056383">
            <w:pPr>
              <w:pStyle w:val="NormalWeb"/>
              <w:spacing w:before="0" w:beforeAutospacing="0" w:after="0" w:afterAutospacing="0"/>
              <w:ind w:right="-45"/>
              <w:contextualSpacing/>
              <w:mirrorIndents/>
              <w:jc w:val="right"/>
              <w:rPr>
                <w:rFonts w:ascii="Arial" w:hAnsi="Arial" w:cs="Arial"/>
                <w:b/>
                <w:sz w:val="20"/>
                <w:szCs w:val="20"/>
                <w:lang w:eastAsia="en-US"/>
              </w:rPr>
            </w:pPr>
            <w:r w:rsidRPr="00CC20EB">
              <w:rPr>
                <w:rFonts w:ascii="Arial" w:hAnsi="Arial" w:cs="Arial"/>
                <w:b/>
                <w:sz w:val="20"/>
                <w:szCs w:val="20"/>
                <w:lang w:eastAsia="en-US"/>
              </w:rPr>
              <w:t>UPM:</w:t>
            </w:r>
          </w:p>
        </w:tc>
        <w:tc>
          <w:tcPr>
            <w:tcW w:w="5671" w:type="dxa"/>
          </w:tcPr>
          <w:p w14:paraId="3A9B5E02" w14:textId="77777777" w:rsidR="004C0363" w:rsidRPr="00CC20EB"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CC20EB">
              <w:rPr>
                <w:rFonts w:ascii="Arial" w:hAnsi="Arial" w:cs="Arial"/>
                <w:sz w:val="20"/>
                <w:szCs w:val="20"/>
                <w:lang w:eastAsia="en-US"/>
              </w:rPr>
              <w:t>Partido Político Local “Unidos Podemos Más”</w:t>
            </w:r>
          </w:p>
        </w:tc>
      </w:tr>
      <w:tr w:rsidR="004C0363" w:rsidRPr="006E30FA" w14:paraId="726EB420" w14:textId="77777777" w:rsidTr="008830FC">
        <w:tc>
          <w:tcPr>
            <w:tcW w:w="2409" w:type="dxa"/>
            <w:hideMark/>
          </w:tcPr>
          <w:p w14:paraId="3D0A072F" w14:textId="77777777" w:rsidR="004C0363" w:rsidRPr="006E30FA" w:rsidRDefault="004C0363" w:rsidP="00056383">
            <w:pPr>
              <w:pStyle w:val="NormalWeb"/>
              <w:spacing w:before="0" w:beforeAutospacing="0" w:after="0" w:afterAutospacing="0"/>
              <w:ind w:right="-33"/>
              <w:contextualSpacing/>
              <w:mirrorIndents/>
              <w:jc w:val="right"/>
              <w:rPr>
                <w:rFonts w:ascii="Arial" w:hAnsi="Arial" w:cs="Arial"/>
                <w:b/>
                <w:sz w:val="20"/>
                <w:szCs w:val="20"/>
                <w:lang w:eastAsia="en-US"/>
              </w:rPr>
            </w:pPr>
            <w:r w:rsidRPr="006E30FA">
              <w:rPr>
                <w:rFonts w:ascii="Arial" w:hAnsi="Arial" w:cs="Arial"/>
                <w:b/>
                <w:sz w:val="20"/>
                <w:szCs w:val="20"/>
                <w:lang w:eastAsia="en-US"/>
              </w:rPr>
              <w:t>Tribunal Electoral:</w:t>
            </w:r>
          </w:p>
        </w:tc>
        <w:tc>
          <w:tcPr>
            <w:tcW w:w="5671" w:type="dxa"/>
            <w:hideMark/>
          </w:tcPr>
          <w:p w14:paraId="5090B0E5" w14:textId="4F62CE1C" w:rsidR="004C0363"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6E30FA">
              <w:rPr>
                <w:rFonts w:ascii="Arial" w:hAnsi="Arial" w:cs="Arial"/>
                <w:sz w:val="20"/>
                <w:szCs w:val="20"/>
                <w:lang w:eastAsia="en-US"/>
              </w:rPr>
              <w:t>Tribunal Electoral del Estado de Aguascalientes.</w:t>
            </w:r>
          </w:p>
          <w:p w14:paraId="1C89F831" w14:textId="77777777" w:rsidR="004C0363"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p>
          <w:p w14:paraId="44C270D0" w14:textId="323C5B8B" w:rsidR="004C0363" w:rsidRPr="006E30FA"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p>
        </w:tc>
      </w:tr>
      <w:tr w:rsidR="004C0363" w:rsidRPr="006E30FA" w14:paraId="2FE5CB09" w14:textId="77777777" w:rsidTr="008830FC">
        <w:tc>
          <w:tcPr>
            <w:tcW w:w="2409" w:type="dxa"/>
            <w:hideMark/>
          </w:tcPr>
          <w:p w14:paraId="1C01244A" w14:textId="77777777" w:rsidR="004C0363" w:rsidRPr="006E30FA" w:rsidRDefault="004C0363" w:rsidP="00056383">
            <w:pPr>
              <w:pStyle w:val="NormalWeb"/>
              <w:spacing w:before="0" w:beforeAutospacing="0" w:after="0" w:afterAutospacing="0"/>
              <w:ind w:right="-33"/>
              <w:contextualSpacing/>
              <w:mirrorIndents/>
              <w:jc w:val="right"/>
              <w:rPr>
                <w:rFonts w:ascii="Arial" w:hAnsi="Arial" w:cs="Arial"/>
                <w:b/>
                <w:sz w:val="20"/>
                <w:szCs w:val="20"/>
                <w:lang w:eastAsia="en-US"/>
              </w:rPr>
            </w:pPr>
            <w:r w:rsidRPr="006E30FA">
              <w:rPr>
                <w:rFonts w:ascii="Arial" w:hAnsi="Arial" w:cs="Arial"/>
                <w:b/>
                <w:sz w:val="20"/>
                <w:szCs w:val="20"/>
                <w:lang w:eastAsia="en-US"/>
              </w:rPr>
              <w:t>IEE:</w:t>
            </w:r>
          </w:p>
        </w:tc>
        <w:tc>
          <w:tcPr>
            <w:tcW w:w="5671" w:type="dxa"/>
            <w:hideMark/>
          </w:tcPr>
          <w:p w14:paraId="62C3098C" w14:textId="7403387A" w:rsidR="004C0363"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6E30FA">
              <w:rPr>
                <w:rFonts w:ascii="Arial" w:hAnsi="Arial" w:cs="Arial"/>
                <w:sz w:val="20"/>
                <w:szCs w:val="20"/>
                <w:lang w:eastAsia="en-US"/>
              </w:rPr>
              <w:t>Instituto Estatal Electoral de Aguascalientes.</w:t>
            </w:r>
          </w:p>
          <w:p w14:paraId="3A9AA7DE" w14:textId="77777777" w:rsidR="004C0363"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p>
          <w:p w14:paraId="72D9FDAD" w14:textId="59DF3362" w:rsidR="004C0363" w:rsidRPr="006E30FA"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p>
        </w:tc>
      </w:tr>
      <w:tr w:rsidR="004C0363" w:rsidRPr="006E30FA" w14:paraId="78C9840B" w14:textId="77777777" w:rsidTr="008830FC">
        <w:tc>
          <w:tcPr>
            <w:tcW w:w="2409" w:type="dxa"/>
          </w:tcPr>
          <w:p w14:paraId="1DAAF568" w14:textId="77777777" w:rsidR="004C0363" w:rsidRPr="006E30FA" w:rsidRDefault="004C0363" w:rsidP="00056383">
            <w:pPr>
              <w:pStyle w:val="NormalWeb"/>
              <w:spacing w:before="0" w:beforeAutospacing="0" w:after="0" w:afterAutospacing="0"/>
              <w:ind w:right="-33"/>
              <w:contextualSpacing/>
              <w:mirrorIndents/>
              <w:jc w:val="right"/>
              <w:rPr>
                <w:rFonts w:ascii="Arial" w:hAnsi="Arial" w:cs="Arial"/>
                <w:b/>
                <w:sz w:val="20"/>
                <w:szCs w:val="20"/>
                <w:lang w:eastAsia="en-US"/>
              </w:rPr>
            </w:pPr>
            <w:r w:rsidRPr="006E30FA">
              <w:rPr>
                <w:rFonts w:ascii="Arial" w:hAnsi="Arial" w:cs="Arial"/>
                <w:b/>
                <w:sz w:val="20"/>
                <w:szCs w:val="20"/>
                <w:lang w:eastAsia="en-US"/>
              </w:rPr>
              <w:t>CG:</w:t>
            </w:r>
          </w:p>
        </w:tc>
        <w:tc>
          <w:tcPr>
            <w:tcW w:w="5671" w:type="dxa"/>
          </w:tcPr>
          <w:p w14:paraId="3C20D4A8" w14:textId="70FEEEB1" w:rsidR="004C0363"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6E30FA">
              <w:rPr>
                <w:rFonts w:ascii="Arial" w:hAnsi="Arial" w:cs="Arial"/>
                <w:sz w:val="20"/>
                <w:szCs w:val="20"/>
                <w:lang w:eastAsia="en-US"/>
              </w:rPr>
              <w:t>Consejo General</w:t>
            </w:r>
            <w:r w:rsidR="00F07A0C">
              <w:rPr>
                <w:rFonts w:ascii="Arial" w:hAnsi="Arial" w:cs="Arial"/>
                <w:sz w:val="20"/>
                <w:szCs w:val="20"/>
                <w:lang w:eastAsia="en-US"/>
              </w:rPr>
              <w:t xml:space="preserve"> del Instituto Estatal Electoral de Aguascalientes</w:t>
            </w:r>
            <w:r w:rsidRPr="006E30FA">
              <w:rPr>
                <w:rFonts w:ascii="Arial" w:hAnsi="Arial" w:cs="Arial"/>
                <w:sz w:val="20"/>
                <w:szCs w:val="20"/>
                <w:lang w:eastAsia="en-US"/>
              </w:rPr>
              <w:t>.</w:t>
            </w:r>
          </w:p>
          <w:p w14:paraId="42956827" w14:textId="6F521C9E" w:rsidR="004C0363" w:rsidRPr="006E30FA"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p>
        </w:tc>
      </w:tr>
      <w:tr w:rsidR="004C0363" w:rsidRPr="006E30FA" w14:paraId="7B0628CE" w14:textId="77777777" w:rsidTr="008830FC">
        <w:tc>
          <w:tcPr>
            <w:tcW w:w="2409" w:type="dxa"/>
            <w:hideMark/>
          </w:tcPr>
          <w:p w14:paraId="65DB9F11" w14:textId="1FC60876" w:rsidR="004C0363" w:rsidRPr="006E30FA" w:rsidRDefault="004C0363" w:rsidP="00056383">
            <w:pPr>
              <w:pStyle w:val="NormalWeb"/>
              <w:spacing w:before="0" w:beforeAutospacing="0" w:after="0" w:afterAutospacing="0"/>
              <w:ind w:right="-33"/>
              <w:contextualSpacing/>
              <w:mirrorIndents/>
              <w:jc w:val="right"/>
              <w:rPr>
                <w:rFonts w:ascii="Arial" w:hAnsi="Arial" w:cs="Arial"/>
                <w:b/>
                <w:sz w:val="20"/>
                <w:szCs w:val="20"/>
                <w:lang w:eastAsia="en-US"/>
              </w:rPr>
            </w:pPr>
            <w:r w:rsidRPr="006E30FA">
              <w:rPr>
                <w:rFonts w:ascii="Arial" w:hAnsi="Arial" w:cs="Arial"/>
                <w:b/>
                <w:sz w:val="20"/>
                <w:szCs w:val="20"/>
                <w:lang w:eastAsia="en-US"/>
              </w:rPr>
              <w:t>Acuerdo CG-A-</w:t>
            </w:r>
            <w:r>
              <w:rPr>
                <w:rFonts w:ascii="Arial" w:hAnsi="Arial" w:cs="Arial"/>
                <w:b/>
                <w:sz w:val="20"/>
                <w:szCs w:val="20"/>
                <w:lang w:eastAsia="en-US"/>
              </w:rPr>
              <w:t>53</w:t>
            </w:r>
            <w:r w:rsidRPr="006E30FA">
              <w:rPr>
                <w:rFonts w:ascii="Arial" w:hAnsi="Arial" w:cs="Arial"/>
                <w:b/>
                <w:sz w:val="20"/>
                <w:szCs w:val="20"/>
                <w:lang w:eastAsia="en-US"/>
              </w:rPr>
              <w:t>/19:</w:t>
            </w:r>
          </w:p>
        </w:tc>
        <w:tc>
          <w:tcPr>
            <w:tcW w:w="5671" w:type="dxa"/>
            <w:hideMark/>
          </w:tcPr>
          <w:p w14:paraId="3A07ABE0" w14:textId="42B3B43B" w:rsidR="004C0363"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6E30FA">
              <w:rPr>
                <w:rFonts w:ascii="Arial" w:hAnsi="Arial" w:cs="Arial"/>
                <w:sz w:val="20"/>
                <w:szCs w:val="20"/>
                <w:lang w:eastAsia="en-US"/>
              </w:rPr>
              <w:t xml:space="preserve">Acuerdo del Consejo General del Instituto Estatal Electoral, </w:t>
            </w:r>
            <w:r>
              <w:rPr>
                <w:rFonts w:ascii="Arial" w:hAnsi="Arial" w:cs="Arial"/>
                <w:sz w:val="20"/>
                <w:szCs w:val="20"/>
                <w:lang w:eastAsia="en-US"/>
              </w:rPr>
              <w:t xml:space="preserve">que </w:t>
            </w:r>
            <w:r w:rsidRPr="006E30FA">
              <w:rPr>
                <w:rFonts w:ascii="Arial" w:hAnsi="Arial" w:cs="Arial"/>
                <w:sz w:val="20"/>
                <w:szCs w:val="20"/>
                <w:lang w:eastAsia="en-US"/>
              </w:rPr>
              <w:t xml:space="preserve">determina los criterios que utilizará para la distribución del financiamiento </w:t>
            </w:r>
            <w:r>
              <w:rPr>
                <w:rFonts w:ascii="Arial" w:hAnsi="Arial" w:cs="Arial"/>
                <w:sz w:val="20"/>
                <w:szCs w:val="20"/>
                <w:lang w:eastAsia="en-US"/>
              </w:rPr>
              <w:t>p</w:t>
            </w:r>
            <w:r w:rsidRPr="006E30FA">
              <w:rPr>
                <w:rFonts w:ascii="Arial" w:hAnsi="Arial" w:cs="Arial"/>
                <w:sz w:val="20"/>
                <w:szCs w:val="20"/>
                <w:lang w:eastAsia="en-US"/>
              </w:rPr>
              <w:t xml:space="preserve">úblico </w:t>
            </w:r>
            <w:r>
              <w:rPr>
                <w:rFonts w:ascii="Arial" w:hAnsi="Arial" w:cs="Arial"/>
                <w:sz w:val="20"/>
                <w:szCs w:val="20"/>
                <w:lang w:eastAsia="en-US"/>
              </w:rPr>
              <w:t>e</w:t>
            </w:r>
            <w:r w:rsidRPr="006E30FA">
              <w:rPr>
                <w:rFonts w:ascii="Arial" w:hAnsi="Arial" w:cs="Arial"/>
                <w:sz w:val="20"/>
                <w:szCs w:val="20"/>
                <w:lang w:eastAsia="en-US"/>
              </w:rPr>
              <w:t xml:space="preserve">statal a los </w:t>
            </w:r>
            <w:r>
              <w:rPr>
                <w:rFonts w:ascii="Arial" w:hAnsi="Arial" w:cs="Arial"/>
                <w:sz w:val="20"/>
                <w:szCs w:val="20"/>
                <w:lang w:eastAsia="en-US"/>
              </w:rPr>
              <w:t>p</w:t>
            </w:r>
            <w:r w:rsidRPr="006E30FA">
              <w:rPr>
                <w:rFonts w:ascii="Arial" w:hAnsi="Arial" w:cs="Arial"/>
                <w:sz w:val="20"/>
                <w:szCs w:val="20"/>
                <w:lang w:eastAsia="en-US"/>
              </w:rPr>
              <w:t xml:space="preserve">artidos </w:t>
            </w:r>
            <w:r>
              <w:rPr>
                <w:rFonts w:ascii="Arial" w:hAnsi="Arial" w:cs="Arial"/>
                <w:sz w:val="20"/>
                <w:szCs w:val="20"/>
                <w:lang w:eastAsia="en-US"/>
              </w:rPr>
              <w:t>p</w:t>
            </w:r>
            <w:r w:rsidRPr="006E30FA">
              <w:rPr>
                <w:rFonts w:ascii="Arial" w:hAnsi="Arial" w:cs="Arial"/>
                <w:sz w:val="20"/>
                <w:szCs w:val="20"/>
                <w:lang w:eastAsia="en-US"/>
              </w:rPr>
              <w:t>olíticos, para su gasto ordinario y actividades específicas correspondiente al ejercicio fiscal del año dos mil veinte</w:t>
            </w:r>
            <w:r>
              <w:rPr>
                <w:rFonts w:ascii="Arial" w:hAnsi="Arial" w:cs="Arial"/>
                <w:sz w:val="20"/>
                <w:szCs w:val="20"/>
                <w:lang w:eastAsia="en-US"/>
              </w:rPr>
              <w:t>, dictado en cumplimiento a la sentencia recaída en el expediente TEEA-RAP-020/2019 y acumulados, emitida por este Tribunal</w:t>
            </w:r>
            <w:r w:rsidRPr="006E30FA">
              <w:rPr>
                <w:rFonts w:ascii="Arial" w:hAnsi="Arial" w:cs="Arial"/>
                <w:sz w:val="20"/>
                <w:szCs w:val="20"/>
                <w:lang w:eastAsia="en-US"/>
              </w:rPr>
              <w:t>.</w:t>
            </w:r>
          </w:p>
          <w:p w14:paraId="03160D69" w14:textId="77777777" w:rsidR="004C0363"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p>
          <w:p w14:paraId="35723FCB" w14:textId="528B033A" w:rsidR="004C0363" w:rsidRPr="006E30FA"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p>
        </w:tc>
      </w:tr>
      <w:tr w:rsidR="004C0363" w:rsidRPr="006E30FA" w14:paraId="128B0703" w14:textId="77777777" w:rsidTr="008830FC">
        <w:tc>
          <w:tcPr>
            <w:tcW w:w="2409" w:type="dxa"/>
            <w:hideMark/>
          </w:tcPr>
          <w:p w14:paraId="365873C7" w14:textId="77777777" w:rsidR="004C0363" w:rsidRPr="006E30FA" w:rsidRDefault="004C0363" w:rsidP="00056383">
            <w:pPr>
              <w:pStyle w:val="NormalWeb"/>
              <w:spacing w:before="0" w:beforeAutospacing="0" w:after="0" w:afterAutospacing="0"/>
              <w:ind w:right="-33"/>
              <w:contextualSpacing/>
              <w:mirrorIndents/>
              <w:jc w:val="right"/>
              <w:rPr>
                <w:rFonts w:ascii="Arial" w:hAnsi="Arial" w:cs="Arial"/>
                <w:b/>
                <w:sz w:val="20"/>
                <w:szCs w:val="20"/>
                <w:lang w:eastAsia="en-US"/>
              </w:rPr>
            </w:pPr>
            <w:r w:rsidRPr="006E30FA">
              <w:rPr>
                <w:rFonts w:ascii="Arial" w:hAnsi="Arial" w:cs="Arial"/>
                <w:b/>
                <w:sz w:val="20"/>
                <w:szCs w:val="20"/>
                <w:lang w:eastAsia="en-US"/>
              </w:rPr>
              <w:t>Constitución Federal:</w:t>
            </w:r>
          </w:p>
        </w:tc>
        <w:tc>
          <w:tcPr>
            <w:tcW w:w="5671" w:type="dxa"/>
            <w:hideMark/>
          </w:tcPr>
          <w:p w14:paraId="2CC7B546" w14:textId="1FAA9874" w:rsidR="004C0363"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6E30FA">
              <w:rPr>
                <w:rFonts w:ascii="Arial" w:hAnsi="Arial" w:cs="Arial"/>
                <w:sz w:val="20"/>
                <w:szCs w:val="20"/>
                <w:lang w:eastAsia="en-US"/>
              </w:rPr>
              <w:t>Constitución Política de los Estados Unidos Mexicanos.</w:t>
            </w:r>
          </w:p>
          <w:p w14:paraId="6EA75302" w14:textId="77777777" w:rsidR="00A76D1C" w:rsidRDefault="00A76D1C" w:rsidP="00056383">
            <w:pPr>
              <w:pStyle w:val="NormalWeb"/>
              <w:spacing w:before="0" w:beforeAutospacing="0" w:after="0" w:afterAutospacing="0"/>
              <w:ind w:right="851"/>
              <w:contextualSpacing/>
              <w:mirrorIndents/>
              <w:jc w:val="both"/>
              <w:rPr>
                <w:rFonts w:ascii="Arial" w:hAnsi="Arial" w:cs="Arial"/>
                <w:sz w:val="20"/>
                <w:szCs w:val="20"/>
                <w:lang w:eastAsia="en-US"/>
              </w:rPr>
            </w:pPr>
          </w:p>
          <w:p w14:paraId="7A5E6664" w14:textId="5359881D" w:rsidR="004C0363" w:rsidRPr="006E30FA"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p>
        </w:tc>
      </w:tr>
      <w:tr w:rsidR="004C0363" w:rsidRPr="006E30FA" w14:paraId="4633F6E0" w14:textId="77777777" w:rsidTr="008830FC">
        <w:tc>
          <w:tcPr>
            <w:tcW w:w="2409" w:type="dxa"/>
          </w:tcPr>
          <w:p w14:paraId="7A98BB27" w14:textId="77777777" w:rsidR="004C0363" w:rsidRPr="006E30FA" w:rsidRDefault="004C0363" w:rsidP="00056383">
            <w:pPr>
              <w:pStyle w:val="NormalWeb"/>
              <w:spacing w:before="0" w:beforeAutospacing="0" w:after="0" w:afterAutospacing="0"/>
              <w:ind w:right="-33"/>
              <w:contextualSpacing/>
              <w:mirrorIndents/>
              <w:jc w:val="right"/>
              <w:rPr>
                <w:rFonts w:ascii="Arial" w:hAnsi="Arial" w:cs="Arial"/>
                <w:b/>
                <w:sz w:val="20"/>
                <w:szCs w:val="20"/>
                <w:lang w:eastAsia="en-US"/>
              </w:rPr>
            </w:pPr>
            <w:r w:rsidRPr="006E30FA">
              <w:rPr>
                <w:rFonts w:ascii="Arial" w:hAnsi="Arial" w:cs="Arial"/>
                <w:b/>
                <w:sz w:val="20"/>
                <w:szCs w:val="20"/>
                <w:lang w:eastAsia="en-US"/>
              </w:rPr>
              <w:t>LGPP:</w:t>
            </w:r>
          </w:p>
        </w:tc>
        <w:tc>
          <w:tcPr>
            <w:tcW w:w="5671" w:type="dxa"/>
          </w:tcPr>
          <w:p w14:paraId="0DE42100" w14:textId="77777777" w:rsidR="004C0363"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6E30FA">
              <w:rPr>
                <w:rFonts w:ascii="Arial" w:hAnsi="Arial" w:cs="Arial"/>
                <w:sz w:val="20"/>
                <w:szCs w:val="20"/>
                <w:lang w:eastAsia="en-US"/>
              </w:rPr>
              <w:t>Ley General de Partidos Políticos.</w:t>
            </w:r>
          </w:p>
          <w:p w14:paraId="5050C8CB" w14:textId="0482181F" w:rsidR="004C0363" w:rsidRPr="006E30FA"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p>
        </w:tc>
      </w:tr>
      <w:tr w:rsidR="004C0363" w:rsidRPr="006E30FA" w14:paraId="3A66E8AC" w14:textId="77777777" w:rsidTr="008830FC">
        <w:tc>
          <w:tcPr>
            <w:tcW w:w="2409" w:type="dxa"/>
          </w:tcPr>
          <w:p w14:paraId="5292D520" w14:textId="77777777" w:rsidR="004C0363" w:rsidRPr="006E30FA" w:rsidRDefault="004C0363" w:rsidP="00056383">
            <w:pPr>
              <w:pStyle w:val="NormalWeb"/>
              <w:spacing w:before="0" w:beforeAutospacing="0" w:after="0" w:afterAutospacing="0"/>
              <w:ind w:right="-33"/>
              <w:contextualSpacing/>
              <w:mirrorIndents/>
              <w:jc w:val="right"/>
              <w:rPr>
                <w:rFonts w:ascii="Arial" w:hAnsi="Arial" w:cs="Arial"/>
                <w:b/>
                <w:sz w:val="20"/>
                <w:szCs w:val="20"/>
                <w:lang w:eastAsia="en-US"/>
              </w:rPr>
            </w:pPr>
            <w:r w:rsidRPr="006E30FA">
              <w:rPr>
                <w:rFonts w:ascii="Arial" w:hAnsi="Arial" w:cs="Arial"/>
                <w:b/>
                <w:sz w:val="20"/>
                <w:szCs w:val="20"/>
                <w:lang w:eastAsia="en-US"/>
              </w:rPr>
              <w:t>LGIPE:</w:t>
            </w:r>
          </w:p>
        </w:tc>
        <w:tc>
          <w:tcPr>
            <w:tcW w:w="5671" w:type="dxa"/>
          </w:tcPr>
          <w:p w14:paraId="45F3FC8B" w14:textId="77777777" w:rsidR="004C0363"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6E30FA">
              <w:rPr>
                <w:rFonts w:ascii="Arial" w:hAnsi="Arial" w:cs="Arial"/>
                <w:sz w:val="20"/>
                <w:szCs w:val="20"/>
                <w:lang w:eastAsia="en-US"/>
              </w:rPr>
              <w:t>Ley General de Instituciones y Procedimientos Electorales.</w:t>
            </w:r>
          </w:p>
          <w:p w14:paraId="66072016" w14:textId="03D2B846" w:rsidR="004C0363" w:rsidRPr="006E30FA"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p>
        </w:tc>
      </w:tr>
      <w:tr w:rsidR="004C0363" w:rsidRPr="006E30FA" w14:paraId="4CEA2F0C" w14:textId="77777777" w:rsidTr="008830FC">
        <w:tc>
          <w:tcPr>
            <w:tcW w:w="2409" w:type="dxa"/>
            <w:hideMark/>
          </w:tcPr>
          <w:p w14:paraId="18F8F1EB" w14:textId="77777777" w:rsidR="004C0363" w:rsidRPr="006E30FA" w:rsidRDefault="004C0363" w:rsidP="00056383">
            <w:pPr>
              <w:pStyle w:val="NormalWeb"/>
              <w:spacing w:before="0" w:beforeAutospacing="0" w:after="0" w:afterAutospacing="0"/>
              <w:ind w:right="-33"/>
              <w:contextualSpacing/>
              <w:mirrorIndents/>
              <w:jc w:val="right"/>
              <w:rPr>
                <w:rFonts w:ascii="Arial" w:hAnsi="Arial" w:cs="Arial"/>
                <w:b/>
                <w:sz w:val="20"/>
                <w:szCs w:val="20"/>
                <w:lang w:eastAsia="en-US"/>
              </w:rPr>
            </w:pPr>
            <w:r w:rsidRPr="006E30FA">
              <w:rPr>
                <w:rFonts w:ascii="Arial" w:hAnsi="Arial" w:cs="Arial"/>
                <w:b/>
                <w:sz w:val="20"/>
                <w:szCs w:val="20"/>
                <w:lang w:eastAsia="en-US"/>
              </w:rPr>
              <w:lastRenderedPageBreak/>
              <w:t xml:space="preserve">Código Electoral: </w:t>
            </w:r>
          </w:p>
        </w:tc>
        <w:tc>
          <w:tcPr>
            <w:tcW w:w="5671" w:type="dxa"/>
            <w:hideMark/>
          </w:tcPr>
          <w:p w14:paraId="06B89313" w14:textId="24286EC3" w:rsidR="004C0363"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6E30FA">
              <w:rPr>
                <w:rFonts w:ascii="Arial" w:hAnsi="Arial" w:cs="Arial"/>
                <w:sz w:val="20"/>
                <w:szCs w:val="20"/>
                <w:lang w:eastAsia="en-US"/>
              </w:rPr>
              <w:t>Código Electoral del Estado de Aguascalientes.</w:t>
            </w:r>
          </w:p>
          <w:p w14:paraId="3E2DEC35" w14:textId="77777777" w:rsidR="00A76D1C" w:rsidRDefault="00A76D1C" w:rsidP="00056383">
            <w:pPr>
              <w:pStyle w:val="NormalWeb"/>
              <w:spacing w:before="0" w:beforeAutospacing="0" w:after="0" w:afterAutospacing="0"/>
              <w:ind w:right="851"/>
              <w:contextualSpacing/>
              <w:mirrorIndents/>
              <w:jc w:val="both"/>
              <w:rPr>
                <w:rFonts w:ascii="Arial" w:hAnsi="Arial" w:cs="Arial"/>
                <w:sz w:val="20"/>
                <w:szCs w:val="20"/>
                <w:lang w:eastAsia="en-US"/>
              </w:rPr>
            </w:pPr>
          </w:p>
          <w:p w14:paraId="21657946" w14:textId="3C2C334B" w:rsidR="004C0363" w:rsidRPr="006E30FA"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p>
        </w:tc>
      </w:tr>
      <w:tr w:rsidR="004C0363" w:rsidRPr="006E30FA" w14:paraId="74F371DE" w14:textId="77777777" w:rsidTr="008830FC">
        <w:tc>
          <w:tcPr>
            <w:tcW w:w="2409" w:type="dxa"/>
          </w:tcPr>
          <w:p w14:paraId="4F1BB72D" w14:textId="77777777" w:rsidR="004C0363" w:rsidRPr="006E30FA" w:rsidRDefault="004C0363" w:rsidP="00056383">
            <w:pPr>
              <w:pStyle w:val="NormalWeb"/>
              <w:spacing w:before="0" w:beforeAutospacing="0" w:after="0" w:afterAutospacing="0"/>
              <w:ind w:right="-33"/>
              <w:contextualSpacing/>
              <w:mirrorIndents/>
              <w:jc w:val="right"/>
              <w:rPr>
                <w:rFonts w:ascii="Arial" w:hAnsi="Arial" w:cs="Arial"/>
                <w:b/>
                <w:sz w:val="20"/>
                <w:szCs w:val="20"/>
                <w:lang w:eastAsia="en-US"/>
              </w:rPr>
            </w:pPr>
            <w:r w:rsidRPr="006E30FA">
              <w:rPr>
                <w:rFonts w:ascii="Arial" w:hAnsi="Arial" w:cs="Arial"/>
                <w:b/>
                <w:sz w:val="20"/>
                <w:szCs w:val="20"/>
                <w:lang w:eastAsia="en-US"/>
              </w:rPr>
              <w:t>Sala Superior:</w:t>
            </w:r>
          </w:p>
        </w:tc>
        <w:tc>
          <w:tcPr>
            <w:tcW w:w="5671" w:type="dxa"/>
          </w:tcPr>
          <w:p w14:paraId="777A1C37" w14:textId="77777777" w:rsidR="004C0363"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r w:rsidRPr="006E30FA">
              <w:rPr>
                <w:rFonts w:ascii="Arial" w:hAnsi="Arial" w:cs="Arial"/>
                <w:sz w:val="20"/>
                <w:szCs w:val="20"/>
                <w:lang w:eastAsia="en-US"/>
              </w:rPr>
              <w:t>Sala Superior del Tribunal Electoral del Poder Judicial de la Federación.</w:t>
            </w:r>
          </w:p>
          <w:p w14:paraId="754F0EB0" w14:textId="71EEF6AC" w:rsidR="004C0363" w:rsidRPr="006E30FA"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p>
        </w:tc>
      </w:tr>
      <w:tr w:rsidR="004C0363" w:rsidRPr="006E30FA" w14:paraId="03788267" w14:textId="77777777" w:rsidTr="008830FC">
        <w:tc>
          <w:tcPr>
            <w:tcW w:w="2409" w:type="dxa"/>
            <w:hideMark/>
          </w:tcPr>
          <w:p w14:paraId="3A643C46" w14:textId="0C40BE47" w:rsidR="004C0363" w:rsidRPr="006E30FA" w:rsidRDefault="004C0363" w:rsidP="00056383">
            <w:pPr>
              <w:pStyle w:val="NormalWeb"/>
              <w:spacing w:before="0" w:beforeAutospacing="0" w:after="0" w:afterAutospacing="0"/>
              <w:ind w:right="-33"/>
              <w:contextualSpacing/>
              <w:mirrorIndents/>
              <w:jc w:val="right"/>
              <w:rPr>
                <w:rFonts w:ascii="Arial" w:hAnsi="Arial" w:cs="Arial"/>
                <w:b/>
                <w:sz w:val="20"/>
                <w:szCs w:val="20"/>
                <w:lang w:eastAsia="en-US"/>
              </w:rPr>
            </w:pPr>
            <w:r w:rsidRPr="006E30FA">
              <w:rPr>
                <w:rFonts w:ascii="Arial" w:hAnsi="Arial" w:cs="Arial"/>
                <w:b/>
                <w:sz w:val="20"/>
                <w:szCs w:val="20"/>
                <w:lang w:eastAsia="en-US"/>
              </w:rPr>
              <w:t xml:space="preserve">Sala </w:t>
            </w:r>
            <w:r w:rsidR="005C359E">
              <w:rPr>
                <w:rFonts w:ascii="Arial" w:hAnsi="Arial" w:cs="Arial"/>
                <w:b/>
                <w:sz w:val="20"/>
                <w:szCs w:val="20"/>
                <w:lang w:eastAsia="en-US"/>
              </w:rPr>
              <w:t xml:space="preserve">Regional </w:t>
            </w:r>
            <w:r w:rsidRPr="006E30FA">
              <w:rPr>
                <w:rFonts w:ascii="Arial" w:hAnsi="Arial" w:cs="Arial"/>
                <w:b/>
                <w:sz w:val="20"/>
                <w:szCs w:val="20"/>
                <w:lang w:eastAsia="en-US"/>
              </w:rPr>
              <w:t>Monterrey:</w:t>
            </w:r>
          </w:p>
        </w:tc>
        <w:tc>
          <w:tcPr>
            <w:tcW w:w="5671" w:type="dxa"/>
          </w:tcPr>
          <w:p w14:paraId="32690F30" w14:textId="7101E310" w:rsidR="004C0363" w:rsidRPr="006E30FA" w:rsidRDefault="004C0363" w:rsidP="002A1E5E">
            <w:pPr>
              <w:pStyle w:val="NormalWeb"/>
              <w:spacing w:before="0" w:beforeAutospacing="0" w:after="0" w:afterAutospacing="0"/>
              <w:ind w:right="851"/>
              <w:contextualSpacing/>
              <w:mirrorIndents/>
              <w:jc w:val="both"/>
              <w:rPr>
                <w:rFonts w:ascii="Arial" w:hAnsi="Arial" w:cs="Arial"/>
                <w:sz w:val="20"/>
                <w:szCs w:val="20"/>
                <w:lang w:eastAsia="en-US"/>
              </w:rPr>
            </w:pPr>
            <w:r w:rsidRPr="006E30FA">
              <w:rPr>
                <w:rFonts w:ascii="Arial" w:hAnsi="Arial" w:cs="Arial"/>
                <w:sz w:val="20"/>
                <w:szCs w:val="20"/>
                <w:lang w:eastAsia="en-US"/>
              </w:rPr>
              <w:t>Sala Regional Monterrey del Tribunal Electoral del Poder Judicial de la Federación.</w:t>
            </w:r>
          </w:p>
        </w:tc>
      </w:tr>
      <w:tr w:rsidR="004C0363" w:rsidRPr="006E30FA" w14:paraId="71703CF4" w14:textId="77777777" w:rsidTr="008830FC">
        <w:tc>
          <w:tcPr>
            <w:tcW w:w="2409" w:type="dxa"/>
          </w:tcPr>
          <w:p w14:paraId="412F545A" w14:textId="1759F467" w:rsidR="004C0363" w:rsidRPr="006E30FA" w:rsidRDefault="004C0363" w:rsidP="00056383">
            <w:pPr>
              <w:pStyle w:val="NormalWeb"/>
              <w:spacing w:before="0" w:beforeAutospacing="0" w:after="0" w:afterAutospacing="0"/>
              <w:ind w:right="-33"/>
              <w:contextualSpacing/>
              <w:mirrorIndents/>
              <w:jc w:val="right"/>
              <w:rPr>
                <w:rFonts w:ascii="Arial" w:hAnsi="Arial" w:cs="Arial"/>
                <w:b/>
                <w:sz w:val="20"/>
                <w:szCs w:val="20"/>
                <w:lang w:eastAsia="en-US"/>
              </w:rPr>
            </w:pPr>
          </w:p>
        </w:tc>
        <w:tc>
          <w:tcPr>
            <w:tcW w:w="5671" w:type="dxa"/>
          </w:tcPr>
          <w:p w14:paraId="28196624" w14:textId="58DC529B" w:rsidR="004C0363" w:rsidRPr="006E30FA" w:rsidRDefault="004C0363" w:rsidP="00056383">
            <w:pPr>
              <w:pStyle w:val="NormalWeb"/>
              <w:spacing w:before="0" w:beforeAutospacing="0" w:after="0" w:afterAutospacing="0"/>
              <w:ind w:right="851"/>
              <w:contextualSpacing/>
              <w:mirrorIndents/>
              <w:jc w:val="both"/>
              <w:rPr>
                <w:rFonts w:ascii="Arial" w:hAnsi="Arial" w:cs="Arial"/>
                <w:sz w:val="20"/>
                <w:szCs w:val="20"/>
                <w:lang w:eastAsia="en-US"/>
              </w:rPr>
            </w:pPr>
          </w:p>
        </w:tc>
      </w:tr>
      <w:tr w:rsidR="007A6505" w:rsidRPr="006E30FA" w14:paraId="37F6D41D" w14:textId="77777777" w:rsidTr="008830FC">
        <w:tc>
          <w:tcPr>
            <w:tcW w:w="2409" w:type="dxa"/>
          </w:tcPr>
          <w:p w14:paraId="42038215" w14:textId="026C3792" w:rsidR="007A6505" w:rsidRPr="006E30FA" w:rsidRDefault="007A6505" w:rsidP="00056383">
            <w:pPr>
              <w:pStyle w:val="NormalWeb"/>
              <w:spacing w:before="0" w:beforeAutospacing="0" w:after="0" w:afterAutospacing="0"/>
              <w:ind w:right="-33"/>
              <w:contextualSpacing/>
              <w:mirrorIndents/>
              <w:jc w:val="right"/>
              <w:rPr>
                <w:rFonts w:ascii="Arial" w:hAnsi="Arial" w:cs="Arial"/>
                <w:b/>
                <w:sz w:val="20"/>
                <w:szCs w:val="20"/>
                <w:lang w:eastAsia="en-US"/>
              </w:rPr>
            </w:pPr>
            <w:r>
              <w:rPr>
                <w:rFonts w:ascii="Arial" w:hAnsi="Arial" w:cs="Arial"/>
                <w:b/>
                <w:sz w:val="20"/>
                <w:szCs w:val="20"/>
                <w:lang w:eastAsia="en-US"/>
              </w:rPr>
              <w:t>V.V.E.:</w:t>
            </w:r>
          </w:p>
        </w:tc>
        <w:tc>
          <w:tcPr>
            <w:tcW w:w="5671" w:type="dxa"/>
          </w:tcPr>
          <w:p w14:paraId="384A330E" w14:textId="77777777" w:rsidR="007A6505" w:rsidRDefault="007A6505" w:rsidP="00056383">
            <w:pPr>
              <w:pStyle w:val="NormalWeb"/>
              <w:spacing w:before="0" w:beforeAutospacing="0" w:after="0" w:afterAutospacing="0"/>
              <w:ind w:right="851"/>
              <w:contextualSpacing/>
              <w:mirrorIndents/>
              <w:jc w:val="both"/>
              <w:rPr>
                <w:rFonts w:ascii="Arial" w:hAnsi="Arial" w:cs="Arial"/>
                <w:sz w:val="20"/>
                <w:szCs w:val="20"/>
                <w:lang w:eastAsia="en-US"/>
              </w:rPr>
            </w:pPr>
            <w:r>
              <w:rPr>
                <w:rFonts w:ascii="Arial" w:hAnsi="Arial" w:cs="Arial"/>
                <w:sz w:val="20"/>
                <w:szCs w:val="20"/>
                <w:lang w:eastAsia="en-US"/>
              </w:rPr>
              <w:t>Votación válida emitida.</w:t>
            </w:r>
          </w:p>
          <w:p w14:paraId="1BA22F21" w14:textId="790462AB" w:rsidR="007A6505" w:rsidRPr="006E30FA" w:rsidRDefault="007A6505" w:rsidP="00056383">
            <w:pPr>
              <w:pStyle w:val="NormalWeb"/>
              <w:spacing w:before="0" w:beforeAutospacing="0" w:after="0" w:afterAutospacing="0"/>
              <w:ind w:right="851"/>
              <w:contextualSpacing/>
              <w:mirrorIndents/>
              <w:jc w:val="both"/>
              <w:rPr>
                <w:rFonts w:ascii="Arial" w:hAnsi="Arial" w:cs="Arial"/>
                <w:sz w:val="20"/>
                <w:szCs w:val="20"/>
                <w:lang w:eastAsia="en-US"/>
              </w:rPr>
            </w:pPr>
          </w:p>
        </w:tc>
      </w:tr>
    </w:tbl>
    <w:p w14:paraId="79DF6096" w14:textId="77777777" w:rsidR="00B224E5" w:rsidRPr="006E30FA" w:rsidRDefault="00B224E5" w:rsidP="00056383">
      <w:pPr>
        <w:pStyle w:val="Prrafodelista"/>
        <w:spacing w:after="0" w:line="360" w:lineRule="auto"/>
        <w:ind w:left="0"/>
        <w:jc w:val="both"/>
        <w:rPr>
          <w:rFonts w:ascii="Arial" w:hAnsi="Arial" w:cs="Arial"/>
          <w:color w:val="212121"/>
          <w:sz w:val="24"/>
          <w:szCs w:val="24"/>
          <w:shd w:val="clear" w:color="auto" w:fill="FFFFFF"/>
        </w:rPr>
      </w:pPr>
      <w:r w:rsidRPr="006E30FA">
        <w:rPr>
          <w:rFonts w:ascii="Arial" w:hAnsi="Arial" w:cs="Arial"/>
          <w:color w:val="212121"/>
          <w:sz w:val="24"/>
          <w:szCs w:val="24"/>
          <w:shd w:val="clear" w:color="auto" w:fill="FFFFFF"/>
        </w:rPr>
        <w:tab/>
      </w:r>
    </w:p>
    <w:p w14:paraId="098955C1" w14:textId="3C0B60E1" w:rsidR="00B224E5" w:rsidRPr="006E30FA" w:rsidRDefault="00056383" w:rsidP="00056383">
      <w:pPr>
        <w:pStyle w:val="Prrafodelista"/>
        <w:spacing w:after="0" w:line="360" w:lineRule="auto"/>
        <w:ind w:left="0"/>
        <w:jc w:val="both"/>
        <w:rPr>
          <w:rFonts w:ascii="Arial" w:hAnsi="Arial" w:cs="Arial"/>
          <w:color w:val="212121"/>
          <w:sz w:val="24"/>
          <w:szCs w:val="24"/>
          <w:shd w:val="clear" w:color="auto" w:fill="FFFFFF"/>
        </w:rPr>
      </w:pPr>
      <w:r>
        <w:rPr>
          <w:rFonts w:ascii="Arial" w:hAnsi="Arial" w:cs="Arial"/>
          <w:b/>
          <w:color w:val="212121"/>
          <w:sz w:val="24"/>
          <w:szCs w:val="24"/>
          <w:shd w:val="clear" w:color="auto" w:fill="FFFFFF"/>
        </w:rPr>
        <w:t xml:space="preserve">1. </w:t>
      </w:r>
      <w:r w:rsidR="00B224E5" w:rsidRPr="006E30FA">
        <w:rPr>
          <w:rFonts w:ascii="Arial" w:hAnsi="Arial" w:cs="Arial"/>
          <w:b/>
          <w:color w:val="212121"/>
          <w:sz w:val="24"/>
          <w:szCs w:val="24"/>
          <w:shd w:val="clear" w:color="auto" w:fill="FFFFFF"/>
        </w:rPr>
        <w:t xml:space="preserve">ANTECEDENTES DEL CASO. </w:t>
      </w:r>
      <w:r w:rsidR="00B224E5" w:rsidRPr="006E30FA">
        <w:rPr>
          <w:rFonts w:ascii="Arial" w:hAnsi="Arial" w:cs="Arial"/>
          <w:color w:val="212121"/>
          <w:sz w:val="24"/>
          <w:szCs w:val="24"/>
          <w:shd w:val="clear" w:color="auto" w:fill="FFFFFF"/>
        </w:rPr>
        <w:t>Los hechos se suscitaron en el año dos mil diecinueve, salvo precisión en contrario.</w:t>
      </w:r>
    </w:p>
    <w:p w14:paraId="74AB78F2" w14:textId="77777777" w:rsidR="00B224E5" w:rsidRPr="006E30FA" w:rsidRDefault="00B224E5" w:rsidP="00056383">
      <w:pPr>
        <w:pStyle w:val="Prrafodelista"/>
        <w:spacing w:after="0" w:line="360" w:lineRule="auto"/>
        <w:ind w:left="0"/>
        <w:jc w:val="both"/>
        <w:rPr>
          <w:rFonts w:ascii="Arial" w:hAnsi="Arial" w:cs="Arial"/>
          <w:color w:val="212121"/>
          <w:sz w:val="24"/>
          <w:szCs w:val="24"/>
          <w:shd w:val="clear" w:color="auto" w:fill="FFFFFF"/>
        </w:rPr>
      </w:pPr>
    </w:p>
    <w:p w14:paraId="306143F8" w14:textId="74A1EAAC" w:rsidR="00A76D1C" w:rsidRDefault="00B224E5" w:rsidP="00056383">
      <w:pPr>
        <w:spacing w:after="0" w:line="360" w:lineRule="auto"/>
        <w:jc w:val="both"/>
        <w:rPr>
          <w:rFonts w:ascii="Arial" w:hAnsi="Arial" w:cs="Arial"/>
          <w:b/>
          <w:bCs/>
          <w:sz w:val="24"/>
          <w:szCs w:val="24"/>
        </w:rPr>
      </w:pPr>
      <w:r w:rsidRPr="006E30FA">
        <w:rPr>
          <w:rFonts w:ascii="Arial" w:hAnsi="Arial" w:cs="Arial"/>
          <w:b/>
          <w:color w:val="212121"/>
          <w:sz w:val="24"/>
          <w:szCs w:val="24"/>
          <w:shd w:val="clear" w:color="auto" w:fill="FFFFFF"/>
        </w:rPr>
        <w:t>1.1.</w:t>
      </w:r>
      <w:r w:rsidRPr="006E30FA">
        <w:rPr>
          <w:rFonts w:ascii="Arial" w:hAnsi="Arial" w:cs="Arial"/>
          <w:sz w:val="24"/>
          <w:szCs w:val="24"/>
        </w:rPr>
        <w:t xml:space="preserve"> </w:t>
      </w:r>
      <w:r w:rsidRPr="006E30FA">
        <w:rPr>
          <w:rFonts w:ascii="Arial" w:hAnsi="Arial" w:cs="Arial"/>
          <w:b/>
          <w:bCs/>
          <w:sz w:val="24"/>
          <w:szCs w:val="24"/>
        </w:rPr>
        <w:t xml:space="preserve">Acuerdo del Consejo General del IEE. </w:t>
      </w:r>
      <w:r w:rsidRPr="006E30FA">
        <w:rPr>
          <w:rFonts w:ascii="Arial" w:hAnsi="Arial" w:cs="Arial"/>
          <w:sz w:val="24"/>
          <w:szCs w:val="24"/>
        </w:rPr>
        <w:t xml:space="preserve">El veinticinco de septiembre, el Consejo General aprobó el </w:t>
      </w:r>
      <w:r w:rsidR="00A76D1C">
        <w:rPr>
          <w:rFonts w:ascii="Arial" w:hAnsi="Arial" w:cs="Arial"/>
          <w:sz w:val="24"/>
          <w:szCs w:val="24"/>
        </w:rPr>
        <w:t>a</w:t>
      </w:r>
      <w:r w:rsidRPr="006E30FA">
        <w:rPr>
          <w:rFonts w:ascii="Arial" w:hAnsi="Arial" w:cs="Arial"/>
          <w:sz w:val="24"/>
          <w:szCs w:val="24"/>
        </w:rPr>
        <w:t xml:space="preserve">cuerdo </w:t>
      </w:r>
      <w:r w:rsidR="00A76D1C" w:rsidRPr="00684438">
        <w:rPr>
          <w:rFonts w:ascii="Arial" w:hAnsi="Arial" w:cs="Arial"/>
          <w:b/>
          <w:bCs/>
          <w:sz w:val="24"/>
          <w:szCs w:val="24"/>
        </w:rPr>
        <w:t>CG-A-48/19</w:t>
      </w:r>
      <w:r w:rsidR="00A76D1C">
        <w:rPr>
          <w:rFonts w:ascii="Arial" w:hAnsi="Arial" w:cs="Arial"/>
          <w:sz w:val="24"/>
          <w:szCs w:val="24"/>
        </w:rPr>
        <w:t xml:space="preserve">, por el que </w:t>
      </w:r>
      <w:r w:rsidRPr="006E30FA">
        <w:rPr>
          <w:rFonts w:ascii="Arial" w:hAnsi="Arial" w:cs="Arial"/>
          <w:sz w:val="24"/>
          <w:szCs w:val="24"/>
        </w:rPr>
        <w:t>se determina</w:t>
      </w:r>
      <w:r w:rsidR="00A76D1C">
        <w:rPr>
          <w:rFonts w:ascii="Arial" w:hAnsi="Arial" w:cs="Arial"/>
          <w:sz w:val="24"/>
          <w:szCs w:val="24"/>
        </w:rPr>
        <w:t>ro</w:t>
      </w:r>
      <w:r w:rsidRPr="006E30FA">
        <w:rPr>
          <w:rFonts w:ascii="Arial" w:hAnsi="Arial" w:cs="Arial"/>
          <w:sz w:val="24"/>
          <w:szCs w:val="24"/>
        </w:rPr>
        <w:t xml:space="preserve">n los criterios que utilizará para la distribución del financiamiento público estatal a los </w:t>
      </w:r>
      <w:r w:rsidR="00684438">
        <w:rPr>
          <w:rFonts w:ascii="Arial" w:hAnsi="Arial" w:cs="Arial"/>
          <w:sz w:val="24"/>
          <w:szCs w:val="24"/>
        </w:rPr>
        <w:t>p</w:t>
      </w:r>
      <w:r w:rsidRPr="006E30FA">
        <w:rPr>
          <w:rFonts w:ascii="Arial" w:hAnsi="Arial" w:cs="Arial"/>
          <w:sz w:val="24"/>
          <w:szCs w:val="24"/>
        </w:rPr>
        <w:t xml:space="preserve">artidos </w:t>
      </w:r>
      <w:r w:rsidR="00684438">
        <w:rPr>
          <w:rFonts w:ascii="Arial" w:hAnsi="Arial" w:cs="Arial"/>
          <w:sz w:val="24"/>
          <w:szCs w:val="24"/>
        </w:rPr>
        <w:t>p</w:t>
      </w:r>
      <w:r w:rsidRPr="006E30FA">
        <w:rPr>
          <w:rFonts w:ascii="Arial" w:hAnsi="Arial" w:cs="Arial"/>
          <w:sz w:val="24"/>
          <w:szCs w:val="24"/>
        </w:rPr>
        <w:t>olíticos, para su gasto ordinario y actividades específicas correspondientes al ejercicio fiscal del año dos mil veinte</w:t>
      </w:r>
      <w:r w:rsidRPr="006E30FA">
        <w:rPr>
          <w:rFonts w:ascii="Arial" w:hAnsi="Arial" w:cs="Arial"/>
          <w:b/>
          <w:bCs/>
          <w:sz w:val="24"/>
          <w:szCs w:val="24"/>
        </w:rPr>
        <w:t xml:space="preserve">. </w:t>
      </w:r>
    </w:p>
    <w:p w14:paraId="0B98B251" w14:textId="77777777" w:rsidR="00056383" w:rsidRDefault="00056383" w:rsidP="00056383">
      <w:pPr>
        <w:spacing w:after="0" w:line="360" w:lineRule="auto"/>
        <w:jc w:val="both"/>
        <w:rPr>
          <w:rFonts w:ascii="Arial" w:hAnsi="Arial" w:cs="Arial"/>
          <w:b/>
          <w:bCs/>
          <w:sz w:val="24"/>
          <w:szCs w:val="24"/>
        </w:rPr>
      </w:pPr>
    </w:p>
    <w:p w14:paraId="1FDD9202" w14:textId="50F2BF10" w:rsidR="00A76D1C" w:rsidRDefault="00A76D1C" w:rsidP="00056383">
      <w:pPr>
        <w:spacing w:after="0" w:line="360" w:lineRule="auto"/>
        <w:jc w:val="both"/>
        <w:rPr>
          <w:rFonts w:ascii="Arial" w:hAnsi="Arial" w:cs="Arial"/>
          <w:sz w:val="24"/>
          <w:szCs w:val="24"/>
        </w:rPr>
      </w:pPr>
      <w:r>
        <w:rPr>
          <w:rFonts w:ascii="Arial" w:hAnsi="Arial" w:cs="Arial"/>
          <w:b/>
          <w:bCs/>
          <w:sz w:val="24"/>
          <w:szCs w:val="24"/>
        </w:rPr>
        <w:t xml:space="preserve">1.2. </w:t>
      </w:r>
      <w:r w:rsidR="00B224E5" w:rsidRPr="006E30FA">
        <w:rPr>
          <w:rFonts w:ascii="Arial" w:hAnsi="Arial" w:cs="Arial"/>
          <w:b/>
          <w:bCs/>
          <w:sz w:val="24"/>
          <w:szCs w:val="24"/>
        </w:rPr>
        <w:t xml:space="preserve">Cierre del Proceso Electoral. </w:t>
      </w:r>
      <w:r w:rsidR="00B224E5" w:rsidRPr="006E30FA">
        <w:rPr>
          <w:rFonts w:ascii="Arial" w:hAnsi="Arial" w:cs="Arial"/>
          <w:sz w:val="24"/>
          <w:szCs w:val="24"/>
        </w:rPr>
        <w:t xml:space="preserve"> El dos de octubre, la Sala Superior desechó el asunto identificado con el número de expediente SUP-JRC-538/2019, concluyendo así con el último </w:t>
      </w:r>
      <w:r w:rsidR="00684438">
        <w:rPr>
          <w:rFonts w:ascii="Arial" w:hAnsi="Arial" w:cs="Arial"/>
          <w:sz w:val="24"/>
          <w:szCs w:val="24"/>
        </w:rPr>
        <w:t xml:space="preserve">asunto </w:t>
      </w:r>
      <w:r w:rsidR="00B224E5" w:rsidRPr="006E30FA">
        <w:rPr>
          <w:rFonts w:ascii="Arial" w:hAnsi="Arial" w:cs="Arial"/>
          <w:sz w:val="24"/>
          <w:szCs w:val="24"/>
        </w:rPr>
        <w:t xml:space="preserve">vinculado al proceso electoral 2018-2019, razón por la cual, los subsecuentes medios de impugnación se consideran fuera del proceso electoral local de referencia. </w:t>
      </w:r>
    </w:p>
    <w:p w14:paraId="45D70025" w14:textId="77777777" w:rsidR="00056383" w:rsidRDefault="00056383" w:rsidP="00056383">
      <w:pPr>
        <w:spacing w:after="0" w:line="360" w:lineRule="auto"/>
        <w:jc w:val="both"/>
        <w:rPr>
          <w:rFonts w:ascii="Arial" w:hAnsi="Arial" w:cs="Arial"/>
          <w:b/>
          <w:bCs/>
          <w:sz w:val="24"/>
          <w:szCs w:val="24"/>
        </w:rPr>
      </w:pPr>
    </w:p>
    <w:p w14:paraId="4BEED058" w14:textId="7BFD774F" w:rsidR="00B224E5" w:rsidRDefault="00A76D1C" w:rsidP="00056383">
      <w:pPr>
        <w:spacing w:after="0" w:line="360" w:lineRule="auto"/>
        <w:jc w:val="both"/>
        <w:rPr>
          <w:rFonts w:ascii="Arial" w:hAnsi="Arial" w:cs="Arial"/>
          <w:sz w:val="24"/>
          <w:szCs w:val="24"/>
        </w:rPr>
      </w:pPr>
      <w:r>
        <w:rPr>
          <w:rFonts w:ascii="Arial" w:hAnsi="Arial" w:cs="Arial"/>
          <w:b/>
          <w:bCs/>
          <w:sz w:val="24"/>
          <w:szCs w:val="24"/>
        </w:rPr>
        <w:t xml:space="preserve">1.3. </w:t>
      </w:r>
      <w:r w:rsidR="00B224E5" w:rsidRPr="006E30FA">
        <w:rPr>
          <w:rFonts w:ascii="Arial" w:eastAsia="Arial" w:hAnsi="Arial" w:cs="Arial"/>
          <w:b/>
          <w:bCs/>
          <w:spacing w:val="1"/>
          <w:sz w:val="24"/>
          <w:szCs w:val="24"/>
        </w:rPr>
        <w:t>Medios de Impugnación</w:t>
      </w:r>
      <w:r w:rsidR="00684438">
        <w:rPr>
          <w:rFonts w:ascii="Arial" w:eastAsia="Arial" w:hAnsi="Arial" w:cs="Arial"/>
          <w:b/>
          <w:bCs/>
          <w:spacing w:val="1"/>
          <w:sz w:val="24"/>
          <w:szCs w:val="24"/>
        </w:rPr>
        <w:t xml:space="preserve"> promovidos en contra del </w:t>
      </w:r>
      <w:r w:rsidR="00684438" w:rsidRPr="00684438">
        <w:rPr>
          <w:rFonts w:ascii="Arial" w:hAnsi="Arial" w:cs="Arial"/>
          <w:b/>
          <w:bCs/>
          <w:sz w:val="24"/>
          <w:szCs w:val="24"/>
        </w:rPr>
        <w:t>acuerdo</w:t>
      </w:r>
      <w:r w:rsidR="00684438" w:rsidRPr="006E30FA">
        <w:rPr>
          <w:rFonts w:ascii="Arial" w:hAnsi="Arial" w:cs="Arial"/>
          <w:sz w:val="24"/>
          <w:szCs w:val="24"/>
        </w:rPr>
        <w:t xml:space="preserve"> </w:t>
      </w:r>
      <w:r w:rsidR="00684438" w:rsidRPr="006E30FA">
        <w:rPr>
          <w:rFonts w:ascii="Arial" w:eastAsia="Arial" w:hAnsi="Arial" w:cs="Arial"/>
          <w:b/>
          <w:sz w:val="24"/>
          <w:szCs w:val="24"/>
        </w:rPr>
        <w:t>CG-A-48/19</w:t>
      </w:r>
      <w:r w:rsidR="00B224E5" w:rsidRPr="006E30FA">
        <w:rPr>
          <w:rFonts w:ascii="Arial" w:eastAsia="Arial" w:hAnsi="Arial" w:cs="Arial"/>
          <w:b/>
          <w:bCs/>
          <w:spacing w:val="1"/>
          <w:sz w:val="24"/>
          <w:szCs w:val="24"/>
        </w:rPr>
        <w:t xml:space="preserve">. </w:t>
      </w:r>
      <w:r w:rsidR="00B224E5" w:rsidRPr="006E30FA">
        <w:rPr>
          <w:rFonts w:ascii="Arial" w:hAnsi="Arial" w:cs="Arial"/>
          <w:sz w:val="24"/>
          <w:szCs w:val="24"/>
        </w:rPr>
        <w:t xml:space="preserve">Inconformes con </w:t>
      </w:r>
      <w:r w:rsidR="00684438">
        <w:rPr>
          <w:rFonts w:ascii="Arial" w:hAnsi="Arial" w:cs="Arial"/>
          <w:sz w:val="24"/>
          <w:szCs w:val="24"/>
        </w:rPr>
        <w:t xml:space="preserve">el </w:t>
      </w:r>
      <w:r w:rsidR="00B224E5" w:rsidRPr="006E30FA">
        <w:rPr>
          <w:rFonts w:ascii="Arial" w:hAnsi="Arial" w:cs="Arial"/>
          <w:sz w:val="24"/>
          <w:szCs w:val="24"/>
        </w:rPr>
        <w:t xml:space="preserve">acuerdo </w:t>
      </w:r>
      <w:r w:rsidR="00B224E5" w:rsidRPr="006E30FA">
        <w:rPr>
          <w:rFonts w:ascii="Arial" w:eastAsia="Arial" w:hAnsi="Arial" w:cs="Arial"/>
          <w:b/>
          <w:sz w:val="24"/>
          <w:szCs w:val="24"/>
        </w:rPr>
        <w:t>CG-A-48/19</w:t>
      </w:r>
      <w:r w:rsidR="00B224E5" w:rsidRPr="006E30FA">
        <w:rPr>
          <w:rStyle w:val="Refdenotaalpie"/>
          <w:rFonts w:ascii="Arial" w:eastAsia="Arial" w:hAnsi="Arial" w:cs="Arial"/>
          <w:b/>
          <w:sz w:val="24"/>
          <w:szCs w:val="24"/>
        </w:rPr>
        <w:footnoteReference w:id="1"/>
      </w:r>
      <w:r w:rsidR="00B224E5" w:rsidRPr="006E30FA">
        <w:rPr>
          <w:rFonts w:ascii="Arial" w:hAnsi="Arial" w:cs="Arial"/>
          <w:sz w:val="24"/>
          <w:szCs w:val="24"/>
        </w:rPr>
        <w:t xml:space="preserve">, </w:t>
      </w:r>
      <w:r w:rsidR="00684438">
        <w:rPr>
          <w:rFonts w:ascii="Arial" w:hAnsi="Arial" w:cs="Arial"/>
          <w:sz w:val="24"/>
          <w:szCs w:val="24"/>
        </w:rPr>
        <w:t xml:space="preserve">los partidos políticos, PVEM, PRI, MORENA y PT, </w:t>
      </w:r>
      <w:r w:rsidR="00B224E5" w:rsidRPr="006E30FA">
        <w:rPr>
          <w:rFonts w:ascii="Arial" w:hAnsi="Arial" w:cs="Arial"/>
          <w:sz w:val="24"/>
          <w:szCs w:val="24"/>
        </w:rPr>
        <w:t xml:space="preserve">presentaron </w:t>
      </w:r>
      <w:r w:rsidR="00684438">
        <w:rPr>
          <w:rFonts w:ascii="Arial" w:hAnsi="Arial" w:cs="Arial"/>
          <w:sz w:val="24"/>
          <w:szCs w:val="24"/>
        </w:rPr>
        <w:t>recurso</w:t>
      </w:r>
      <w:r w:rsidR="00E34109">
        <w:rPr>
          <w:rFonts w:ascii="Arial" w:hAnsi="Arial" w:cs="Arial"/>
          <w:sz w:val="24"/>
          <w:szCs w:val="24"/>
        </w:rPr>
        <w:t>s</w:t>
      </w:r>
      <w:r w:rsidR="00684438">
        <w:rPr>
          <w:rFonts w:ascii="Arial" w:hAnsi="Arial" w:cs="Arial"/>
          <w:sz w:val="24"/>
          <w:szCs w:val="24"/>
        </w:rPr>
        <w:t xml:space="preserve"> de apelación, los que fueron </w:t>
      </w:r>
      <w:r w:rsidR="003146B4">
        <w:rPr>
          <w:rFonts w:ascii="Arial" w:hAnsi="Arial" w:cs="Arial"/>
          <w:sz w:val="24"/>
          <w:szCs w:val="24"/>
        </w:rPr>
        <w:t>acumulados y tramitados ante este Tribunal bajo el expediente TEEA-RAP-020/2019 y acumulados.</w:t>
      </w:r>
    </w:p>
    <w:p w14:paraId="3B17DDE6" w14:textId="77777777" w:rsidR="00056383" w:rsidRDefault="00056383" w:rsidP="00056383">
      <w:pPr>
        <w:spacing w:after="0" w:line="360" w:lineRule="auto"/>
        <w:jc w:val="both"/>
        <w:rPr>
          <w:rFonts w:ascii="Arial" w:hAnsi="Arial" w:cs="Arial"/>
          <w:b/>
          <w:bCs/>
          <w:sz w:val="24"/>
          <w:szCs w:val="24"/>
        </w:rPr>
      </w:pPr>
    </w:p>
    <w:p w14:paraId="1CE932D4" w14:textId="77777777" w:rsidR="00C03775" w:rsidRDefault="00684438" w:rsidP="00C03775">
      <w:pPr>
        <w:spacing w:after="0" w:line="360" w:lineRule="auto"/>
        <w:jc w:val="both"/>
        <w:rPr>
          <w:rFonts w:ascii="Arial" w:hAnsi="Arial" w:cs="Arial"/>
          <w:sz w:val="24"/>
          <w:szCs w:val="24"/>
        </w:rPr>
      </w:pPr>
      <w:r>
        <w:rPr>
          <w:rFonts w:ascii="Arial" w:hAnsi="Arial" w:cs="Arial"/>
          <w:b/>
          <w:bCs/>
          <w:sz w:val="24"/>
          <w:szCs w:val="24"/>
        </w:rPr>
        <w:t xml:space="preserve">1.4. Resolución </w:t>
      </w:r>
      <w:r w:rsidR="00E34109">
        <w:rPr>
          <w:rFonts w:ascii="Arial" w:hAnsi="Arial" w:cs="Arial"/>
          <w:b/>
          <w:bCs/>
          <w:sz w:val="24"/>
          <w:szCs w:val="24"/>
        </w:rPr>
        <w:t xml:space="preserve">del TEEA-RAP-020/2019. </w:t>
      </w:r>
      <w:r w:rsidR="00E34109">
        <w:rPr>
          <w:rFonts w:ascii="Arial" w:hAnsi="Arial" w:cs="Arial"/>
          <w:sz w:val="24"/>
          <w:szCs w:val="24"/>
        </w:rPr>
        <w:t xml:space="preserve">El cuatro de noviembre, el Pleno de este Tribunal </w:t>
      </w:r>
      <w:r w:rsidR="00ED3954">
        <w:rPr>
          <w:rFonts w:ascii="Arial" w:hAnsi="Arial" w:cs="Arial"/>
          <w:sz w:val="24"/>
          <w:szCs w:val="24"/>
        </w:rPr>
        <w:t>dictó sentencia, que revocó el acuerdo impugnado para el efecto de</w:t>
      </w:r>
      <w:r w:rsidR="008A1325">
        <w:rPr>
          <w:rFonts w:ascii="Arial" w:hAnsi="Arial" w:cs="Arial"/>
          <w:sz w:val="24"/>
          <w:szCs w:val="24"/>
        </w:rPr>
        <w:t xml:space="preserve"> que:</w:t>
      </w:r>
    </w:p>
    <w:p w14:paraId="4022018C" w14:textId="77777777" w:rsidR="00C03775" w:rsidRDefault="00C03775" w:rsidP="00C03775">
      <w:pPr>
        <w:spacing w:after="0" w:line="360" w:lineRule="auto"/>
        <w:jc w:val="both"/>
        <w:rPr>
          <w:rFonts w:ascii="Arial" w:hAnsi="Arial" w:cs="Arial"/>
          <w:sz w:val="24"/>
          <w:szCs w:val="24"/>
        </w:rPr>
      </w:pPr>
    </w:p>
    <w:p w14:paraId="02466A18" w14:textId="77777777" w:rsidR="00C03775" w:rsidRPr="00C03775" w:rsidRDefault="00C03775" w:rsidP="00C03775">
      <w:pPr>
        <w:spacing w:after="0" w:line="360" w:lineRule="auto"/>
        <w:jc w:val="both"/>
        <w:rPr>
          <w:rFonts w:ascii="Arial" w:hAnsi="Arial" w:cs="Arial"/>
          <w:bCs/>
          <w:sz w:val="24"/>
          <w:szCs w:val="24"/>
        </w:rPr>
      </w:pPr>
      <w:r w:rsidRPr="00C03775">
        <w:rPr>
          <w:rFonts w:ascii="Arial" w:hAnsi="Arial" w:cs="Arial"/>
          <w:b/>
          <w:bCs/>
          <w:sz w:val="24"/>
          <w:szCs w:val="24"/>
        </w:rPr>
        <w:t xml:space="preserve">A. </w:t>
      </w:r>
      <w:r w:rsidR="008A1325" w:rsidRPr="00C03775">
        <w:rPr>
          <w:rFonts w:ascii="Arial" w:hAnsi="Arial" w:cs="Arial"/>
          <w:bCs/>
          <w:sz w:val="24"/>
          <w:szCs w:val="24"/>
        </w:rPr>
        <w:t xml:space="preserve">Se prescindiera de la declaración de conservación de registro del UPM. </w:t>
      </w:r>
    </w:p>
    <w:p w14:paraId="237AEEAC" w14:textId="77777777" w:rsidR="00345B3F" w:rsidRDefault="00345B3F" w:rsidP="00C03775">
      <w:pPr>
        <w:spacing w:after="0" w:line="360" w:lineRule="auto"/>
        <w:jc w:val="both"/>
        <w:rPr>
          <w:rFonts w:ascii="Arial" w:hAnsi="Arial" w:cs="Arial"/>
          <w:b/>
          <w:sz w:val="24"/>
          <w:szCs w:val="24"/>
        </w:rPr>
      </w:pPr>
    </w:p>
    <w:p w14:paraId="5982E88E" w14:textId="7675E263" w:rsidR="00C03775" w:rsidRPr="00C03775" w:rsidRDefault="00C03775" w:rsidP="00C03775">
      <w:pPr>
        <w:spacing w:after="0" w:line="360" w:lineRule="auto"/>
        <w:jc w:val="both"/>
        <w:rPr>
          <w:rFonts w:ascii="Arial" w:hAnsi="Arial" w:cs="Arial"/>
          <w:bCs/>
          <w:sz w:val="24"/>
          <w:szCs w:val="24"/>
        </w:rPr>
      </w:pPr>
      <w:r w:rsidRPr="00C03775">
        <w:rPr>
          <w:rFonts w:ascii="Arial" w:hAnsi="Arial" w:cs="Arial"/>
          <w:b/>
          <w:sz w:val="24"/>
          <w:szCs w:val="24"/>
        </w:rPr>
        <w:t xml:space="preserve">B. </w:t>
      </w:r>
      <w:r w:rsidR="008A1325" w:rsidRPr="00C03775">
        <w:rPr>
          <w:rFonts w:ascii="Arial" w:hAnsi="Arial" w:cs="Arial"/>
          <w:bCs/>
          <w:sz w:val="24"/>
          <w:szCs w:val="24"/>
        </w:rPr>
        <w:t xml:space="preserve">Se </w:t>
      </w:r>
      <w:proofErr w:type="gramStart"/>
      <w:r w:rsidR="008A1325" w:rsidRPr="00C03775">
        <w:rPr>
          <w:rFonts w:ascii="Arial" w:hAnsi="Arial" w:cs="Arial"/>
          <w:bCs/>
          <w:sz w:val="24"/>
          <w:szCs w:val="24"/>
        </w:rPr>
        <w:t>tomara</w:t>
      </w:r>
      <w:proofErr w:type="gramEnd"/>
      <w:r w:rsidR="008A1325" w:rsidRPr="00C03775">
        <w:rPr>
          <w:rFonts w:ascii="Arial" w:hAnsi="Arial" w:cs="Arial"/>
          <w:bCs/>
          <w:sz w:val="24"/>
          <w:szCs w:val="24"/>
        </w:rPr>
        <w:t xml:space="preserve"> como base para distribuir el financiamiento público ordinario en la parte proporcional, los resultados de la elección de diputados inmediata anterior.</w:t>
      </w:r>
    </w:p>
    <w:p w14:paraId="5E4277B1" w14:textId="77777777" w:rsidR="00345B3F" w:rsidRDefault="00345B3F" w:rsidP="00C03775">
      <w:pPr>
        <w:spacing w:after="0" w:line="360" w:lineRule="auto"/>
        <w:jc w:val="both"/>
        <w:rPr>
          <w:rFonts w:ascii="Arial" w:hAnsi="Arial" w:cs="Arial"/>
          <w:b/>
          <w:sz w:val="24"/>
          <w:szCs w:val="24"/>
        </w:rPr>
      </w:pPr>
    </w:p>
    <w:p w14:paraId="5E6E8D45" w14:textId="3E22F5F4" w:rsidR="008A1325" w:rsidRPr="00C03775" w:rsidRDefault="00C03775" w:rsidP="00C03775">
      <w:pPr>
        <w:spacing w:after="0" w:line="360" w:lineRule="auto"/>
        <w:jc w:val="both"/>
        <w:rPr>
          <w:rFonts w:ascii="Arial" w:hAnsi="Arial" w:cs="Arial"/>
          <w:sz w:val="24"/>
          <w:szCs w:val="24"/>
        </w:rPr>
      </w:pPr>
      <w:r w:rsidRPr="00C03775">
        <w:rPr>
          <w:rFonts w:ascii="Arial" w:hAnsi="Arial" w:cs="Arial"/>
          <w:b/>
          <w:sz w:val="24"/>
          <w:szCs w:val="24"/>
        </w:rPr>
        <w:t xml:space="preserve">C. </w:t>
      </w:r>
      <w:r w:rsidR="008A1325" w:rsidRPr="00C03775">
        <w:rPr>
          <w:rFonts w:ascii="Arial" w:hAnsi="Arial" w:cs="Arial"/>
          <w:bCs/>
          <w:sz w:val="24"/>
          <w:szCs w:val="24"/>
        </w:rPr>
        <w:t>Adecuar la motivación y fundamentación, al marco normativo constitucional y legal</w:t>
      </w:r>
      <w:r w:rsidR="002A1E5E">
        <w:rPr>
          <w:rFonts w:ascii="Arial" w:hAnsi="Arial" w:cs="Arial"/>
          <w:bCs/>
          <w:sz w:val="24"/>
          <w:szCs w:val="24"/>
        </w:rPr>
        <w:t xml:space="preserve"> aplicable</w:t>
      </w:r>
      <w:r w:rsidR="008A1325" w:rsidRPr="00C03775">
        <w:rPr>
          <w:rFonts w:ascii="Arial" w:hAnsi="Arial" w:cs="Arial"/>
          <w:bCs/>
          <w:sz w:val="24"/>
          <w:szCs w:val="24"/>
        </w:rPr>
        <w:t xml:space="preserve">. </w:t>
      </w:r>
    </w:p>
    <w:p w14:paraId="5E4157E3" w14:textId="77777777" w:rsidR="00056383" w:rsidRDefault="00056383" w:rsidP="00056383">
      <w:pPr>
        <w:spacing w:after="0" w:line="360" w:lineRule="auto"/>
        <w:jc w:val="both"/>
        <w:rPr>
          <w:rFonts w:ascii="Arial" w:hAnsi="Arial" w:cs="Arial"/>
          <w:b/>
          <w:bCs/>
          <w:sz w:val="24"/>
          <w:szCs w:val="24"/>
        </w:rPr>
      </w:pPr>
    </w:p>
    <w:p w14:paraId="267A1F2E" w14:textId="3BF91903" w:rsidR="00684438" w:rsidRPr="00CC20EB" w:rsidRDefault="00754DD2" w:rsidP="00056383">
      <w:pPr>
        <w:spacing w:after="0" w:line="360" w:lineRule="auto"/>
        <w:jc w:val="both"/>
        <w:rPr>
          <w:rFonts w:ascii="Arial" w:hAnsi="Arial" w:cs="Arial"/>
          <w:sz w:val="24"/>
          <w:szCs w:val="24"/>
        </w:rPr>
      </w:pPr>
      <w:r>
        <w:rPr>
          <w:rFonts w:ascii="Arial" w:hAnsi="Arial" w:cs="Arial"/>
          <w:b/>
          <w:bCs/>
          <w:sz w:val="24"/>
          <w:szCs w:val="24"/>
        </w:rPr>
        <w:t xml:space="preserve">1.5. Acuerdo CG-A-53/19. </w:t>
      </w:r>
      <w:r w:rsidR="00CC20EB" w:rsidRPr="00CC20EB">
        <w:rPr>
          <w:rFonts w:ascii="Arial" w:hAnsi="Arial" w:cs="Arial"/>
          <w:sz w:val="24"/>
          <w:szCs w:val="24"/>
        </w:rPr>
        <w:t>En</w:t>
      </w:r>
      <w:r w:rsidR="00CC20EB">
        <w:rPr>
          <w:rFonts w:ascii="Arial" w:hAnsi="Arial" w:cs="Arial"/>
          <w:sz w:val="24"/>
          <w:szCs w:val="24"/>
        </w:rPr>
        <w:t xml:space="preserve"> cumplimiento a los efectos de la sentencia dictada por este Tribunal,</w:t>
      </w:r>
      <w:r w:rsidR="00CC20EB" w:rsidRPr="00CC20EB">
        <w:rPr>
          <w:rFonts w:ascii="Arial" w:hAnsi="Arial" w:cs="Arial"/>
          <w:sz w:val="24"/>
          <w:szCs w:val="24"/>
        </w:rPr>
        <w:t xml:space="preserve"> </w:t>
      </w:r>
      <w:r w:rsidR="00CC20EB">
        <w:rPr>
          <w:rFonts w:ascii="Arial" w:hAnsi="Arial" w:cs="Arial"/>
          <w:sz w:val="24"/>
          <w:szCs w:val="24"/>
        </w:rPr>
        <w:t xml:space="preserve">el Consejo General celebró sesión extraordinaria el siete de noviembre, en la que emitió el acuerdo </w:t>
      </w:r>
      <w:r w:rsidR="00CC20EB">
        <w:rPr>
          <w:rFonts w:ascii="Arial" w:hAnsi="Arial" w:cs="Arial"/>
          <w:b/>
          <w:bCs/>
          <w:sz w:val="24"/>
          <w:szCs w:val="24"/>
        </w:rPr>
        <w:t xml:space="preserve">CG-A-53/19 </w:t>
      </w:r>
      <w:r w:rsidR="00783A8B" w:rsidRPr="00783A8B">
        <w:rPr>
          <w:rFonts w:ascii="Arial" w:hAnsi="Arial" w:cs="Arial"/>
          <w:sz w:val="24"/>
          <w:szCs w:val="24"/>
        </w:rPr>
        <w:t>donde</w:t>
      </w:r>
      <w:r w:rsidR="00CC20EB">
        <w:rPr>
          <w:rFonts w:ascii="Arial" w:hAnsi="Arial" w:cs="Arial"/>
          <w:sz w:val="24"/>
          <w:szCs w:val="24"/>
        </w:rPr>
        <w:t xml:space="preserve"> determinó los criterios que se utilizarán para la distribución del financiamiento público estatal a los partidos políticos, para su gasto ordinario y actividades específicas correspondientes al ejercicio </w:t>
      </w:r>
      <w:r w:rsidR="00783A8B">
        <w:rPr>
          <w:rFonts w:ascii="Arial" w:hAnsi="Arial" w:cs="Arial"/>
          <w:sz w:val="24"/>
          <w:szCs w:val="24"/>
        </w:rPr>
        <w:t>fiscal del dos mil veinte.</w:t>
      </w:r>
    </w:p>
    <w:p w14:paraId="1A2DB965" w14:textId="77777777" w:rsidR="00056383" w:rsidRDefault="00056383" w:rsidP="00056383">
      <w:pPr>
        <w:pStyle w:val="Prrafodelista"/>
        <w:spacing w:after="0" w:line="360" w:lineRule="auto"/>
        <w:ind w:left="0"/>
        <w:jc w:val="both"/>
        <w:rPr>
          <w:rFonts w:ascii="Arial" w:hAnsi="Arial" w:cs="Arial"/>
          <w:b/>
          <w:bCs/>
          <w:sz w:val="24"/>
          <w:szCs w:val="24"/>
        </w:rPr>
      </w:pPr>
    </w:p>
    <w:p w14:paraId="6F5CB4C6" w14:textId="67DCA862" w:rsidR="00783A8B" w:rsidRDefault="00783A8B" w:rsidP="00056383">
      <w:pPr>
        <w:pStyle w:val="Prrafodelista"/>
        <w:spacing w:after="0" w:line="360" w:lineRule="auto"/>
        <w:ind w:left="0"/>
        <w:jc w:val="both"/>
        <w:rPr>
          <w:rFonts w:ascii="Arial" w:hAnsi="Arial" w:cs="Arial"/>
          <w:sz w:val="24"/>
          <w:szCs w:val="24"/>
        </w:rPr>
      </w:pPr>
      <w:r>
        <w:rPr>
          <w:rFonts w:ascii="Arial" w:hAnsi="Arial" w:cs="Arial"/>
          <w:b/>
          <w:bCs/>
          <w:sz w:val="24"/>
          <w:szCs w:val="24"/>
        </w:rPr>
        <w:t xml:space="preserve">2. </w:t>
      </w:r>
      <w:r w:rsidR="00056383">
        <w:rPr>
          <w:rFonts w:ascii="Arial" w:hAnsi="Arial" w:cs="Arial"/>
          <w:b/>
          <w:bCs/>
          <w:sz w:val="24"/>
          <w:szCs w:val="24"/>
        </w:rPr>
        <w:t>PRESENTACIÓN DE MEDIO DE IMPUGNACIÓN</w:t>
      </w:r>
      <w:r>
        <w:rPr>
          <w:rFonts w:ascii="Arial" w:hAnsi="Arial" w:cs="Arial"/>
          <w:b/>
          <w:bCs/>
          <w:sz w:val="24"/>
          <w:szCs w:val="24"/>
        </w:rPr>
        <w:t xml:space="preserve">. </w:t>
      </w:r>
      <w:r>
        <w:rPr>
          <w:rFonts w:ascii="Arial" w:hAnsi="Arial" w:cs="Arial"/>
          <w:sz w:val="24"/>
          <w:szCs w:val="24"/>
        </w:rPr>
        <w:t>Inconforme con tal determinación, el PLA</w:t>
      </w:r>
      <w:r w:rsidR="00B926BA">
        <w:rPr>
          <w:rFonts w:ascii="Arial" w:hAnsi="Arial" w:cs="Arial"/>
          <w:sz w:val="24"/>
          <w:szCs w:val="24"/>
        </w:rPr>
        <w:t>,</w:t>
      </w:r>
      <w:r>
        <w:rPr>
          <w:rFonts w:ascii="Arial" w:hAnsi="Arial" w:cs="Arial"/>
          <w:sz w:val="24"/>
          <w:szCs w:val="24"/>
        </w:rPr>
        <w:t xml:space="preserve"> por conducto de su representante, presentó recurso de apelación, el que dirigió a la Sala Regional Monterrey del Tribunal Electoral del Poder Judicial de la Federación.</w:t>
      </w:r>
    </w:p>
    <w:p w14:paraId="77584D1B" w14:textId="77777777" w:rsidR="00783A8B" w:rsidRDefault="00783A8B" w:rsidP="00056383">
      <w:pPr>
        <w:pStyle w:val="Prrafodelista"/>
        <w:spacing w:after="0" w:line="360" w:lineRule="auto"/>
        <w:ind w:left="0"/>
        <w:jc w:val="both"/>
        <w:rPr>
          <w:rFonts w:ascii="Arial" w:hAnsi="Arial" w:cs="Arial"/>
          <w:sz w:val="24"/>
          <w:szCs w:val="24"/>
        </w:rPr>
      </w:pPr>
    </w:p>
    <w:p w14:paraId="6D2D0D3D" w14:textId="358BA2CC" w:rsidR="00783A8B" w:rsidRPr="00783A8B" w:rsidRDefault="00056383" w:rsidP="00056383">
      <w:pPr>
        <w:pStyle w:val="Prrafodelista"/>
        <w:spacing w:after="0" w:line="360" w:lineRule="auto"/>
        <w:ind w:left="0"/>
        <w:jc w:val="both"/>
        <w:rPr>
          <w:rFonts w:ascii="Arial" w:hAnsi="Arial" w:cs="Arial"/>
          <w:sz w:val="24"/>
          <w:szCs w:val="24"/>
        </w:rPr>
      </w:pPr>
      <w:r>
        <w:rPr>
          <w:rFonts w:ascii="Arial" w:hAnsi="Arial" w:cs="Arial"/>
          <w:b/>
          <w:bCs/>
          <w:sz w:val="24"/>
          <w:szCs w:val="24"/>
        </w:rPr>
        <w:t>3</w:t>
      </w:r>
      <w:r w:rsidR="00783A8B">
        <w:rPr>
          <w:rFonts w:ascii="Arial" w:hAnsi="Arial" w:cs="Arial"/>
          <w:b/>
          <w:bCs/>
          <w:sz w:val="24"/>
          <w:szCs w:val="24"/>
        </w:rPr>
        <w:t xml:space="preserve">. </w:t>
      </w:r>
      <w:r>
        <w:rPr>
          <w:rFonts w:ascii="Arial" w:hAnsi="Arial" w:cs="Arial"/>
          <w:b/>
          <w:bCs/>
          <w:sz w:val="24"/>
          <w:szCs w:val="24"/>
        </w:rPr>
        <w:t>ACUERDO PLENARIO DE REENCAUZAMIENTO</w:t>
      </w:r>
      <w:r w:rsidR="00783A8B">
        <w:rPr>
          <w:rFonts w:ascii="Arial" w:hAnsi="Arial" w:cs="Arial"/>
          <w:b/>
          <w:bCs/>
          <w:sz w:val="24"/>
          <w:szCs w:val="24"/>
        </w:rPr>
        <w:t xml:space="preserve">. </w:t>
      </w:r>
      <w:r w:rsidR="00783A8B">
        <w:rPr>
          <w:rFonts w:ascii="Arial" w:hAnsi="Arial" w:cs="Arial"/>
          <w:sz w:val="24"/>
          <w:szCs w:val="24"/>
        </w:rPr>
        <w:t>Por acuerdo de</w:t>
      </w:r>
      <w:r w:rsidR="00AA38B1">
        <w:rPr>
          <w:rFonts w:ascii="Arial" w:hAnsi="Arial" w:cs="Arial"/>
          <w:sz w:val="24"/>
          <w:szCs w:val="24"/>
        </w:rPr>
        <w:t xml:space="preserve"> veintiuno</w:t>
      </w:r>
      <w:r w:rsidR="00783A8B">
        <w:rPr>
          <w:rFonts w:ascii="Arial" w:hAnsi="Arial" w:cs="Arial"/>
          <w:sz w:val="24"/>
          <w:szCs w:val="24"/>
        </w:rPr>
        <w:t xml:space="preserve"> de noviembre, el Pleno de la referida Sala Regional, determinó el reencauzamiento del medio de impugnación, a efecto de que este Tribunal lo </w:t>
      </w:r>
      <w:r>
        <w:rPr>
          <w:rFonts w:ascii="Arial" w:hAnsi="Arial" w:cs="Arial"/>
          <w:sz w:val="24"/>
          <w:szCs w:val="24"/>
        </w:rPr>
        <w:t>resolviera</w:t>
      </w:r>
      <w:r w:rsidR="00783A8B">
        <w:rPr>
          <w:rFonts w:ascii="Arial" w:hAnsi="Arial" w:cs="Arial"/>
          <w:sz w:val="24"/>
          <w:szCs w:val="24"/>
        </w:rPr>
        <w:t xml:space="preserve">. </w:t>
      </w:r>
    </w:p>
    <w:p w14:paraId="5C21A214" w14:textId="77777777" w:rsidR="00783A8B" w:rsidRDefault="00783A8B" w:rsidP="00056383">
      <w:pPr>
        <w:pStyle w:val="Prrafodelista"/>
        <w:spacing w:after="0" w:line="360" w:lineRule="auto"/>
        <w:ind w:left="0"/>
        <w:jc w:val="both"/>
        <w:rPr>
          <w:rFonts w:ascii="Arial" w:hAnsi="Arial" w:cs="Arial"/>
          <w:sz w:val="24"/>
          <w:szCs w:val="24"/>
        </w:rPr>
      </w:pPr>
    </w:p>
    <w:p w14:paraId="715514FA" w14:textId="2E9671D4" w:rsidR="00B224E5" w:rsidRPr="00B926BA" w:rsidRDefault="00056383" w:rsidP="00056383">
      <w:pPr>
        <w:pStyle w:val="Prrafodelista"/>
        <w:spacing w:after="0" w:line="360" w:lineRule="auto"/>
        <w:ind w:left="0"/>
        <w:jc w:val="both"/>
        <w:rPr>
          <w:rFonts w:ascii="Arial" w:hAnsi="Arial" w:cs="Arial"/>
          <w:sz w:val="24"/>
          <w:szCs w:val="24"/>
        </w:rPr>
      </w:pPr>
      <w:r>
        <w:rPr>
          <w:rFonts w:ascii="Arial" w:hAnsi="Arial" w:cs="Arial"/>
          <w:b/>
          <w:sz w:val="24"/>
          <w:szCs w:val="24"/>
        </w:rPr>
        <w:t xml:space="preserve">4. </w:t>
      </w:r>
      <w:r w:rsidRPr="006E30FA">
        <w:rPr>
          <w:rFonts w:ascii="Arial" w:hAnsi="Arial" w:cs="Arial"/>
          <w:b/>
          <w:sz w:val="24"/>
          <w:szCs w:val="24"/>
        </w:rPr>
        <w:t>RECEPCIÓN</w:t>
      </w:r>
      <w:r>
        <w:rPr>
          <w:rFonts w:ascii="Arial" w:hAnsi="Arial" w:cs="Arial"/>
          <w:b/>
          <w:sz w:val="24"/>
          <w:szCs w:val="24"/>
        </w:rPr>
        <w:t xml:space="preserve"> Y TURNO</w:t>
      </w:r>
      <w:r w:rsidRPr="006E30FA">
        <w:rPr>
          <w:rFonts w:ascii="Arial" w:hAnsi="Arial" w:cs="Arial"/>
          <w:b/>
          <w:sz w:val="24"/>
          <w:szCs w:val="24"/>
        </w:rPr>
        <w:t>.</w:t>
      </w:r>
      <w:r w:rsidR="00B224E5" w:rsidRPr="006E30FA">
        <w:rPr>
          <w:rFonts w:ascii="Arial" w:hAnsi="Arial" w:cs="Arial"/>
          <w:sz w:val="24"/>
          <w:szCs w:val="24"/>
        </w:rPr>
        <w:t xml:space="preserve"> El </w:t>
      </w:r>
      <w:r w:rsidR="00B926BA">
        <w:rPr>
          <w:rFonts w:ascii="Arial" w:hAnsi="Arial" w:cs="Arial"/>
          <w:color w:val="000000" w:themeColor="text1"/>
          <w:sz w:val="24"/>
          <w:szCs w:val="24"/>
        </w:rPr>
        <w:t>veintidós de noviembre, se recibió el expediente, el cual se radicó con el número TEEA-RAP-025/2019 y fue turnado a la ponencia del Magistrado Jorge Ramón Díaz de León Gutiérrez.</w:t>
      </w:r>
    </w:p>
    <w:p w14:paraId="40B5B21B" w14:textId="77777777" w:rsidR="00226D18" w:rsidRPr="006E30FA" w:rsidRDefault="00226D18" w:rsidP="00056383">
      <w:pPr>
        <w:pStyle w:val="Prrafodelista"/>
        <w:spacing w:after="0" w:line="360" w:lineRule="auto"/>
        <w:ind w:left="0"/>
        <w:jc w:val="both"/>
        <w:rPr>
          <w:rFonts w:ascii="Arial" w:hAnsi="Arial" w:cs="Arial"/>
          <w:sz w:val="24"/>
          <w:szCs w:val="24"/>
        </w:rPr>
      </w:pPr>
    </w:p>
    <w:p w14:paraId="2F927E77" w14:textId="2E2DAE48" w:rsidR="00B224E5" w:rsidRPr="006E30FA" w:rsidRDefault="00056383" w:rsidP="00056383">
      <w:pPr>
        <w:pStyle w:val="Prrafodelista"/>
        <w:spacing w:after="0" w:line="360" w:lineRule="auto"/>
        <w:ind w:left="0"/>
        <w:mirrorIndents/>
        <w:jc w:val="both"/>
        <w:rPr>
          <w:rFonts w:ascii="Arial" w:hAnsi="Arial" w:cs="Arial"/>
          <w:sz w:val="24"/>
          <w:szCs w:val="24"/>
        </w:rPr>
      </w:pPr>
      <w:r>
        <w:rPr>
          <w:rFonts w:ascii="Arial" w:hAnsi="Arial" w:cs="Arial"/>
          <w:b/>
          <w:sz w:val="24"/>
          <w:szCs w:val="24"/>
        </w:rPr>
        <w:t>5. R</w:t>
      </w:r>
      <w:r w:rsidRPr="006E30FA">
        <w:rPr>
          <w:rFonts w:ascii="Arial" w:hAnsi="Arial" w:cs="Arial"/>
          <w:b/>
          <w:sz w:val="24"/>
          <w:szCs w:val="24"/>
        </w:rPr>
        <w:t>ADICACIÓN</w:t>
      </w:r>
      <w:r>
        <w:rPr>
          <w:rFonts w:ascii="Arial" w:hAnsi="Arial" w:cs="Arial"/>
          <w:b/>
          <w:sz w:val="24"/>
          <w:szCs w:val="24"/>
        </w:rPr>
        <w:t xml:space="preserve">, </w:t>
      </w:r>
      <w:r w:rsidRPr="006E30FA">
        <w:rPr>
          <w:rFonts w:ascii="Arial" w:hAnsi="Arial" w:cs="Arial"/>
          <w:b/>
          <w:sz w:val="24"/>
          <w:szCs w:val="24"/>
        </w:rPr>
        <w:t>ADMISIÓN</w:t>
      </w:r>
      <w:r>
        <w:rPr>
          <w:rFonts w:ascii="Arial" w:hAnsi="Arial" w:cs="Arial"/>
          <w:b/>
          <w:sz w:val="24"/>
          <w:szCs w:val="24"/>
        </w:rPr>
        <w:t xml:space="preserve"> Y CIERRE DE INSTRUCCIÓN</w:t>
      </w:r>
      <w:r w:rsidRPr="006E30FA">
        <w:rPr>
          <w:rFonts w:ascii="Arial" w:hAnsi="Arial" w:cs="Arial"/>
          <w:b/>
          <w:sz w:val="24"/>
          <w:szCs w:val="24"/>
        </w:rPr>
        <w:t>.</w:t>
      </w:r>
      <w:r w:rsidRPr="006E30FA">
        <w:rPr>
          <w:rFonts w:ascii="Arial" w:hAnsi="Arial" w:cs="Arial"/>
          <w:sz w:val="24"/>
          <w:szCs w:val="24"/>
        </w:rPr>
        <w:t xml:space="preserve"> </w:t>
      </w:r>
      <w:r w:rsidR="00B224E5" w:rsidRPr="006E30FA">
        <w:rPr>
          <w:rFonts w:ascii="Arial" w:hAnsi="Arial" w:cs="Arial"/>
          <w:sz w:val="24"/>
          <w:szCs w:val="24"/>
        </w:rPr>
        <w:t xml:space="preserve">En su oportunidad, </w:t>
      </w:r>
      <w:r w:rsidR="00B926BA">
        <w:rPr>
          <w:rFonts w:ascii="Arial" w:hAnsi="Arial" w:cs="Arial"/>
          <w:sz w:val="24"/>
          <w:szCs w:val="24"/>
        </w:rPr>
        <w:t>e</w:t>
      </w:r>
      <w:r w:rsidR="00B224E5" w:rsidRPr="006E30FA">
        <w:rPr>
          <w:rFonts w:ascii="Arial" w:hAnsi="Arial" w:cs="Arial"/>
          <w:sz w:val="24"/>
          <w:szCs w:val="24"/>
        </w:rPr>
        <w:t>l Magistrad</w:t>
      </w:r>
      <w:r w:rsidR="00B926BA">
        <w:rPr>
          <w:rFonts w:ascii="Arial" w:hAnsi="Arial" w:cs="Arial"/>
          <w:sz w:val="24"/>
          <w:szCs w:val="24"/>
        </w:rPr>
        <w:t>o</w:t>
      </w:r>
      <w:r w:rsidR="00B224E5" w:rsidRPr="006E30FA">
        <w:rPr>
          <w:rFonts w:ascii="Arial" w:hAnsi="Arial" w:cs="Arial"/>
          <w:sz w:val="24"/>
          <w:szCs w:val="24"/>
        </w:rPr>
        <w:t xml:space="preserve"> instructor radicó y admitió </w:t>
      </w:r>
      <w:r w:rsidR="00B926BA">
        <w:rPr>
          <w:rFonts w:ascii="Arial" w:hAnsi="Arial" w:cs="Arial"/>
          <w:sz w:val="24"/>
          <w:szCs w:val="24"/>
        </w:rPr>
        <w:t>e</w:t>
      </w:r>
      <w:r w:rsidR="00B224E5" w:rsidRPr="006E30FA">
        <w:rPr>
          <w:rFonts w:ascii="Arial" w:hAnsi="Arial" w:cs="Arial"/>
          <w:sz w:val="24"/>
          <w:szCs w:val="24"/>
        </w:rPr>
        <w:t>l recurso de apelación.</w:t>
      </w:r>
      <w:r w:rsidR="00B926BA">
        <w:rPr>
          <w:rFonts w:ascii="Arial" w:hAnsi="Arial" w:cs="Arial"/>
          <w:sz w:val="24"/>
          <w:szCs w:val="24"/>
        </w:rPr>
        <w:t xml:space="preserve"> Una vez substanciado el expediente, declaró cerrada la instrucción y formuló </w:t>
      </w:r>
      <w:r w:rsidR="00F07A0C">
        <w:rPr>
          <w:rFonts w:ascii="Arial" w:hAnsi="Arial" w:cs="Arial"/>
          <w:sz w:val="24"/>
          <w:szCs w:val="24"/>
        </w:rPr>
        <w:t>el proyecto de sentencia.</w:t>
      </w:r>
      <w:r w:rsidR="00B224E5" w:rsidRPr="006E30FA">
        <w:rPr>
          <w:rFonts w:ascii="Arial" w:hAnsi="Arial" w:cs="Arial"/>
          <w:sz w:val="24"/>
          <w:szCs w:val="24"/>
        </w:rPr>
        <w:t xml:space="preserve"> </w:t>
      </w:r>
    </w:p>
    <w:p w14:paraId="220A6A5B" w14:textId="36F6AA47" w:rsidR="00B224E5" w:rsidRDefault="00B224E5" w:rsidP="00056383">
      <w:pPr>
        <w:pStyle w:val="Prrafodelista"/>
        <w:spacing w:after="0" w:line="360" w:lineRule="auto"/>
        <w:rPr>
          <w:rFonts w:ascii="Arial" w:hAnsi="Arial" w:cs="Arial"/>
          <w:sz w:val="24"/>
          <w:szCs w:val="24"/>
        </w:rPr>
      </w:pPr>
    </w:p>
    <w:p w14:paraId="2FEF2BA1" w14:textId="77777777" w:rsidR="00345B3F" w:rsidRDefault="00345B3F" w:rsidP="00056383">
      <w:pPr>
        <w:pStyle w:val="Prrafodelista"/>
        <w:spacing w:after="0" w:line="360" w:lineRule="auto"/>
        <w:rPr>
          <w:rFonts w:ascii="Arial" w:hAnsi="Arial" w:cs="Arial"/>
          <w:sz w:val="24"/>
          <w:szCs w:val="24"/>
        </w:rPr>
      </w:pPr>
    </w:p>
    <w:p w14:paraId="764596BE" w14:textId="0D6627CA" w:rsidR="00F07A0C" w:rsidRDefault="00F07A0C" w:rsidP="00056383">
      <w:pPr>
        <w:spacing w:after="0" w:line="360" w:lineRule="auto"/>
        <w:jc w:val="center"/>
        <w:rPr>
          <w:rFonts w:ascii="Arial" w:hAnsi="Arial" w:cs="Arial"/>
          <w:b/>
          <w:bCs/>
          <w:sz w:val="24"/>
          <w:szCs w:val="24"/>
        </w:rPr>
      </w:pPr>
      <w:r w:rsidRPr="00F07A0C">
        <w:rPr>
          <w:rFonts w:ascii="Arial" w:hAnsi="Arial" w:cs="Arial"/>
          <w:b/>
          <w:bCs/>
          <w:sz w:val="24"/>
          <w:szCs w:val="24"/>
        </w:rPr>
        <w:t>CONSIDERANDOS</w:t>
      </w:r>
    </w:p>
    <w:p w14:paraId="231130C0" w14:textId="77777777" w:rsidR="00F07A0C" w:rsidRPr="00F07A0C" w:rsidRDefault="00F07A0C" w:rsidP="00056383">
      <w:pPr>
        <w:spacing w:after="0" w:line="360" w:lineRule="auto"/>
        <w:jc w:val="center"/>
        <w:rPr>
          <w:rFonts w:ascii="Arial" w:hAnsi="Arial" w:cs="Arial"/>
          <w:b/>
          <w:bCs/>
          <w:sz w:val="24"/>
          <w:szCs w:val="24"/>
        </w:rPr>
      </w:pPr>
    </w:p>
    <w:p w14:paraId="049EF7B5" w14:textId="7D726523" w:rsidR="00B224E5" w:rsidRPr="006E30FA" w:rsidRDefault="00F07A0C" w:rsidP="00056383">
      <w:pPr>
        <w:pStyle w:val="NormalWeb"/>
        <w:tabs>
          <w:tab w:val="right" w:pos="0"/>
        </w:tabs>
        <w:spacing w:before="0" w:beforeAutospacing="0" w:after="0" w:afterAutospacing="0" w:line="360" w:lineRule="auto"/>
        <w:contextualSpacing/>
        <w:mirrorIndents/>
        <w:jc w:val="both"/>
        <w:rPr>
          <w:rFonts w:ascii="Arial" w:hAnsi="Arial" w:cs="Arial"/>
        </w:rPr>
      </w:pPr>
      <w:bookmarkStart w:id="2" w:name="_Hlk499556802"/>
      <w:r>
        <w:rPr>
          <w:rFonts w:ascii="Arial" w:hAnsi="Arial" w:cs="Arial"/>
          <w:b/>
        </w:rPr>
        <w:t xml:space="preserve">PRIMERO. </w:t>
      </w:r>
      <w:r w:rsidR="00B224E5" w:rsidRPr="006E30FA">
        <w:rPr>
          <w:rFonts w:ascii="Arial" w:hAnsi="Arial" w:cs="Arial"/>
          <w:b/>
        </w:rPr>
        <w:t xml:space="preserve">COMPETENCIA. </w:t>
      </w:r>
      <w:r w:rsidR="00AA38B1">
        <w:rPr>
          <w:rFonts w:ascii="Arial" w:hAnsi="Arial" w:cs="Arial"/>
        </w:rPr>
        <w:t>E</w:t>
      </w:r>
      <w:r w:rsidR="00AA38B1" w:rsidRPr="006E30FA">
        <w:rPr>
          <w:rFonts w:ascii="Arial" w:hAnsi="Arial" w:cs="Arial"/>
        </w:rPr>
        <w:t xml:space="preserve">n términos de </w:t>
      </w:r>
      <w:r w:rsidR="00AA38B1">
        <w:rPr>
          <w:rFonts w:ascii="Arial" w:hAnsi="Arial" w:cs="Arial"/>
        </w:rPr>
        <w:t xml:space="preserve">los </w:t>
      </w:r>
      <w:r w:rsidR="00AA38B1" w:rsidRPr="006E30FA">
        <w:rPr>
          <w:rFonts w:ascii="Arial" w:hAnsi="Arial" w:cs="Arial"/>
        </w:rPr>
        <w:t>artículos 297, fracción II</w:t>
      </w:r>
      <w:r w:rsidR="00AA38B1">
        <w:rPr>
          <w:rFonts w:ascii="Arial" w:hAnsi="Arial" w:cs="Arial"/>
        </w:rPr>
        <w:t>,</w:t>
      </w:r>
      <w:r w:rsidR="00AA38B1" w:rsidRPr="006E30FA">
        <w:rPr>
          <w:rFonts w:ascii="Arial" w:hAnsi="Arial" w:cs="Arial"/>
        </w:rPr>
        <w:t xml:space="preserve"> 335, fracción II</w:t>
      </w:r>
      <w:r w:rsidR="00AA38B1">
        <w:rPr>
          <w:rFonts w:ascii="Arial" w:hAnsi="Arial" w:cs="Arial"/>
        </w:rPr>
        <w:t>,</w:t>
      </w:r>
      <w:r w:rsidR="00AA38B1" w:rsidRPr="006E30FA">
        <w:rPr>
          <w:rFonts w:ascii="Arial" w:hAnsi="Arial" w:cs="Arial"/>
        </w:rPr>
        <w:t xml:space="preserve"> 336 y 337 del Código Electoral</w:t>
      </w:r>
      <w:r w:rsidR="00AA38B1">
        <w:rPr>
          <w:rFonts w:ascii="Arial" w:hAnsi="Arial" w:cs="Arial"/>
        </w:rPr>
        <w:t>, e</w:t>
      </w:r>
      <w:r w:rsidR="00B224E5" w:rsidRPr="006E30FA">
        <w:rPr>
          <w:rFonts w:ascii="Arial" w:hAnsi="Arial" w:cs="Arial"/>
        </w:rPr>
        <w:t xml:space="preserve">ste Tribunal es competente para resolver </w:t>
      </w:r>
      <w:r>
        <w:rPr>
          <w:rFonts w:ascii="Arial" w:hAnsi="Arial" w:cs="Arial"/>
        </w:rPr>
        <w:t>el</w:t>
      </w:r>
      <w:r w:rsidR="00B224E5" w:rsidRPr="006E30FA">
        <w:rPr>
          <w:rFonts w:ascii="Arial" w:hAnsi="Arial" w:cs="Arial"/>
        </w:rPr>
        <w:t xml:space="preserve"> recurso de apelación interpuesto</w:t>
      </w:r>
      <w:bookmarkEnd w:id="2"/>
      <w:r w:rsidR="00B224E5" w:rsidRPr="006E30FA">
        <w:rPr>
          <w:rFonts w:ascii="Arial" w:hAnsi="Arial" w:cs="Arial"/>
        </w:rPr>
        <w:t xml:space="preserve">, </w:t>
      </w:r>
      <w:r>
        <w:rPr>
          <w:rFonts w:ascii="Arial" w:hAnsi="Arial" w:cs="Arial"/>
        </w:rPr>
        <w:t xml:space="preserve">al </w:t>
      </w:r>
      <w:r w:rsidR="002A1E5E">
        <w:rPr>
          <w:rFonts w:ascii="Arial" w:hAnsi="Arial" w:cs="Arial"/>
        </w:rPr>
        <w:t xml:space="preserve">haber sido </w:t>
      </w:r>
      <w:r>
        <w:rPr>
          <w:rFonts w:ascii="Arial" w:hAnsi="Arial" w:cs="Arial"/>
        </w:rPr>
        <w:t xml:space="preserve">promovido por un partido político que </w:t>
      </w:r>
      <w:r w:rsidR="00B224E5" w:rsidRPr="006E30FA">
        <w:rPr>
          <w:rFonts w:ascii="Arial" w:hAnsi="Arial" w:cs="Arial"/>
        </w:rPr>
        <w:t>controv</w:t>
      </w:r>
      <w:r>
        <w:rPr>
          <w:rFonts w:ascii="Arial" w:hAnsi="Arial" w:cs="Arial"/>
        </w:rPr>
        <w:t>ierte</w:t>
      </w:r>
      <w:r w:rsidR="00B224E5" w:rsidRPr="006E30FA">
        <w:rPr>
          <w:rFonts w:ascii="Arial" w:hAnsi="Arial" w:cs="Arial"/>
        </w:rPr>
        <w:t xml:space="preserve"> una resolución emitida por el </w:t>
      </w:r>
      <w:r w:rsidR="00AA38B1">
        <w:rPr>
          <w:rFonts w:ascii="Arial" w:hAnsi="Arial" w:cs="Arial"/>
        </w:rPr>
        <w:t>CG.</w:t>
      </w:r>
    </w:p>
    <w:p w14:paraId="61919BA4" w14:textId="77777777" w:rsidR="00B224E5" w:rsidRPr="006E30FA" w:rsidRDefault="00B224E5" w:rsidP="00056383">
      <w:pPr>
        <w:pStyle w:val="NormalWeb"/>
        <w:tabs>
          <w:tab w:val="right" w:pos="0"/>
        </w:tabs>
        <w:spacing w:before="0" w:beforeAutospacing="0" w:after="0" w:afterAutospacing="0" w:line="360" w:lineRule="auto"/>
        <w:contextualSpacing/>
        <w:mirrorIndents/>
        <w:jc w:val="both"/>
        <w:rPr>
          <w:rFonts w:ascii="Arial" w:hAnsi="Arial" w:cs="Arial"/>
        </w:rPr>
      </w:pPr>
    </w:p>
    <w:p w14:paraId="105D02A5" w14:textId="66B96996" w:rsidR="00B224E5" w:rsidRPr="006163A1" w:rsidRDefault="00AA38B1" w:rsidP="00056383">
      <w:pPr>
        <w:pStyle w:val="Prrafodelista"/>
        <w:tabs>
          <w:tab w:val="left" w:pos="0"/>
        </w:tabs>
        <w:spacing w:after="0" w:line="360" w:lineRule="auto"/>
        <w:ind w:left="0"/>
        <w:jc w:val="both"/>
        <w:rPr>
          <w:rFonts w:ascii="Arial" w:hAnsi="Arial" w:cs="Arial"/>
          <w:b/>
          <w:sz w:val="24"/>
          <w:szCs w:val="24"/>
        </w:rPr>
      </w:pPr>
      <w:r w:rsidRPr="00AA38B1">
        <w:rPr>
          <w:rFonts w:ascii="Arial" w:hAnsi="Arial" w:cs="Arial"/>
          <w:b/>
          <w:bCs/>
          <w:sz w:val="24"/>
          <w:szCs w:val="24"/>
        </w:rPr>
        <w:t>SEGUNDO.</w:t>
      </w:r>
      <w:r>
        <w:rPr>
          <w:rFonts w:ascii="Arial" w:hAnsi="Arial" w:cs="Arial"/>
          <w:b/>
          <w:bCs/>
          <w:sz w:val="24"/>
          <w:szCs w:val="24"/>
        </w:rPr>
        <w:t xml:space="preserve"> </w:t>
      </w:r>
      <w:r w:rsidR="00B224E5" w:rsidRPr="006E30FA">
        <w:rPr>
          <w:rFonts w:ascii="Arial" w:hAnsi="Arial" w:cs="Arial"/>
          <w:b/>
        </w:rPr>
        <w:t xml:space="preserve">PROCEDENCIA. </w:t>
      </w:r>
      <w:r w:rsidR="00BA5D9C" w:rsidRPr="00BA5D9C">
        <w:rPr>
          <w:rFonts w:ascii="Arial" w:hAnsi="Arial" w:cs="Arial"/>
          <w:bCs/>
        </w:rPr>
        <w:t>El</w:t>
      </w:r>
      <w:r w:rsidR="00B224E5" w:rsidRPr="006163A1">
        <w:rPr>
          <w:rFonts w:ascii="Arial" w:hAnsi="Arial" w:cs="Arial"/>
          <w:sz w:val="24"/>
          <w:szCs w:val="24"/>
        </w:rPr>
        <w:t xml:space="preserve"> recurso de apelación</w:t>
      </w:r>
      <w:r w:rsidR="002A1E5E">
        <w:rPr>
          <w:rFonts w:ascii="Arial" w:hAnsi="Arial" w:cs="Arial"/>
          <w:sz w:val="24"/>
          <w:szCs w:val="24"/>
        </w:rPr>
        <w:t xml:space="preserve">, </w:t>
      </w:r>
      <w:r w:rsidR="00B224E5" w:rsidRPr="006163A1">
        <w:rPr>
          <w:rFonts w:ascii="Arial" w:hAnsi="Arial" w:cs="Arial"/>
          <w:sz w:val="24"/>
          <w:szCs w:val="24"/>
        </w:rPr>
        <w:t xml:space="preserve">cumple con los requisitos de procedencia previstos en el artículo 302 del Código Electoral. </w:t>
      </w:r>
    </w:p>
    <w:p w14:paraId="5B3B1F53" w14:textId="77777777" w:rsidR="00B224E5" w:rsidRPr="006E30FA" w:rsidRDefault="00B224E5" w:rsidP="00056383">
      <w:pPr>
        <w:pStyle w:val="NormalWeb"/>
        <w:tabs>
          <w:tab w:val="left" w:pos="426"/>
          <w:tab w:val="center" w:pos="4419"/>
          <w:tab w:val="right" w:pos="8838"/>
        </w:tabs>
        <w:spacing w:before="0" w:beforeAutospacing="0" w:after="0" w:afterAutospacing="0" w:line="360" w:lineRule="auto"/>
        <w:contextualSpacing/>
        <w:mirrorIndents/>
        <w:jc w:val="both"/>
        <w:rPr>
          <w:rFonts w:ascii="Arial" w:hAnsi="Arial" w:cs="Arial"/>
          <w:b/>
        </w:rPr>
      </w:pPr>
    </w:p>
    <w:p w14:paraId="062D9384" w14:textId="048B4383" w:rsidR="00B224E5" w:rsidRPr="006E30FA" w:rsidRDefault="00056383" w:rsidP="00056383">
      <w:pPr>
        <w:pStyle w:val="NormalWeb"/>
        <w:tabs>
          <w:tab w:val="center" w:pos="567"/>
          <w:tab w:val="right" w:pos="8838"/>
        </w:tabs>
        <w:spacing w:before="0" w:beforeAutospacing="0" w:after="0" w:afterAutospacing="0" w:line="360" w:lineRule="auto"/>
        <w:contextualSpacing/>
        <w:mirrorIndents/>
        <w:jc w:val="both"/>
        <w:rPr>
          <w:rFonts w:ascii="Arial" w:hAnsi="Arial" w:cs="Arial"/>
          <w:b/>
        </w:rPr>
      </w:pPr>
      <w:r>
        <w:rPr>
          <w:rFonts w:ascii="Arial" w:hAnsi="Arial" w:cs="Arial"/>
          <w:b/>
        </w:rPr>
        <w:t xml:space="preserve">a) </w:t>
      </w:r>
      <w:r w:rsidR="00B224E5" w:rsidRPr="001718F2">
        <w:rPr>
          <w:rFonts w:ascii="Arial" w:hAnsi="Arial" w:cs="Arial"/>
          <w:b/>
        </w:rPr>
        <w:t>Forma.</w:t>
      </w:r>
      <w:r w:rsidR="00B224E5" w:rsidRPr="006E30FA">
        <w:rPr>
          <w:rFonts w:ascii="Arial" w:hAnsi="Arial" w:cs="Arial"/>
          <w:b/>
        </w:rPr>
        <w:t xml:space="preserve"> </w:t>
      </w:r>
      <w:r w:rsidR="00B224E5" w:rsidRPr="006E30FA">
        <w:rPr>
          <w:rFonts w:ascii="Arial" w:hAnsi="Arial" w:cs="Arial"/>
        </w:rPr>
        <w:t>La demanda fue presentada por escrito</w:t>
      </w:r>
      <w:r w:rsidR="00BA5D9C">
        <w:rPr>
          <w:rFonts w:ascii="Arial" w:hAnsi="Arial" w:cs="Arial"/>
        </w:rPr>
        <w:t xml:space="preserve">, </w:t>
      </w:r>
      <w:r w:rsidR="00B224E5" w:rsidRPr="006E30FA">
        <w:rPr>
          <w:rFonts w:ascii="Arial" w:hAnsi="Arial" w:cs="Arial"/>
        </w:rPr>
        <w:t>se identifica el acto impugnado</w:t>
      </w:r>
      <w:r w:rsidR="00EF2A5E">
        <w:rPr>
          <w:rFonts w:ascii="Arial" w:hAnsi="Arial" w:cs="Arial"/>
        </w:rPr>
        <w:t>,</w:t>
      </w:r>
      <w:r w:rsidR="00B224E5" w:rsidRPr="006E30FA">
        <w:rPr>
          <w:rFonts w:ascii="Arial" w:hAnsi="Arial" w:cs="Arial"/>
        </w:rPr>
        <w:t xml:space="preserve"> enuncia los hechos y agravios en los que se basa la impugnación</w:t>
      </w:r>
      <w:r w:rsidR="00EF2A5E">
        <w:rPr>
          <w:rFonts w:ascii="Arial" w:hAnsi="Arial" w:cs="Arial"/>
        </w:rPr>
        <w:t>,</w:t>
      </w:r>
      <w:r w:rsidR="00B224E5" w:rsidRPr="006E30FA">
        <w:rPr>
          <w:rFonts w:ascii="Arial" w:hAnsi="Arial" w:cs="Arial"/>
        </w:rPr>
        <w:t xml:space="preserve"> los preceptos presuntamente violados, así como el nombre y firma autógrafa de</w:t>
      </w:r>
      <w:r w:rsidR="005F32B9">
        <w:rPr>
          <w:rFonts w:ascii="Arial" w:hAnsi="Arial" w:cs="Arial"/>
        </w:rPr>
        <w:t xml:space="preserve"> </w:t>
      </w:r>
      <w:r w:rsidR="00B224E5" w:rsidRPr="006E30FA">
        <w:rPr>
          <w:rFonts w:ascii="Arial" w:hAnsi="Arial" w:cs="Arial"/>
        </w:rPr>
        <w:t>l</w:t>
      </w:r>
      <w:r w:rsidR="005F32B9">
        <w:rPr>
          <w:rFonts w:ascii="Arial" w:hAnsi="Arial" w:cs="Arial"/>
        </w:rPr>
        <w:t>a promovente</w:t>
      </w:r>
      <w:r w:rsidR="00B224E5" w:rsidRPr="006E30FA">
        <w:rPr>
          <w:rFonts w:ascii="Arial" w:hAnsi="Arial" w:cs="Arial"/>
        </w:rPr>
        <w:t>.</w:t>
      </w:r>
    </w:p>
    <w:p w14:paraId="1D80D2B2" w14:textId="77777777" w:rsidR="00B224E5" w:rsidRPr="006E30FA" w:rsidRDefault="00B224E5" w:rsidP="00056383">
      <w:pPr>
        <w:pStyle w:val="NormalWeb"/>
        <w:spacing w:before="0" w:beforeAutospacing="0" w:after="0" w:afterAutospacing="0" w:line="360" w:lineRule="auto"/>
        <w:contextualSpacing/>
        <w:mirrorIndents/>
        <w:jc w:val="both"/>
        <w:rPr>
          <w:rFonts w:ascii="Arial" w:hAnsi="Arial" w:cs="Arial"/>
          <w:b/>
        </w:rPr>
      </w:pPr>
    </w:p>
    <w:p w14:paraId="721FC2CA" w14:textId="2737B1D3" w:rsidR="00B224E5" w:rsidRPr="006E30FA" w:rsidRDefault="00056383" w:rsidP="00056383">
      <w:pPr>
        <w:pStyle w:val="NormalWeb"/>
        <w:tabs>
          <w:tab w:val="center" w:pos="567"/>
          <w:tab w:val="right" w:pos="8838"/>
        </w:tabs>
        <w:spacing w:before="0" w:beforeAutospacing="0" w:after="0" w:afterAutospacing="0" w:line="360" w:lineRule="auto"/>
        <w:contextualSpacing/>
        <w:mirrorIndents/>
        <w:jc w:val="both"/>
        <w:rPr>
          <w:rFonts w:ascii="Arial" w:hAnsi="Arial" w:cs="Arial"/>
          <w:b/>
        </w:rPr>
      </w:pPr>
      <w:r>
        <w:rPr>
          <w:rFonts w:ascii="Arial" w:hAnsi="Arial" w:cs="Arial"/>
          <w:b/>
        </w:rPr>
        <w:t xml:space="preserve">b) </w:t>
      </w:r>
      <w:r w:rsidR="00B224E5" w:rsidRPr="006E30FA">
        <w:rPr>
          <w:rFonts w:ascii="Arial" w:hAnsi="Arial" w:cs="Arial"/>
          <w:b/>
        </w:rPr>
        <w:t xml:space="preserve">Oportunidad. </w:t>
      </w:r>
      <w:r w:rsidR="00B224E5" w:rsidRPr="006E30FA">
        <w:rPr>
          <w:rFonts w:ascii="Arial" w:hAnsi="Arial" w:cs="Arial"/>
        </w:rPr>
        <w:t>La impugnación se interpuso en el plazo legal previsto en el artículo 301 del Código</w:t>
      </w:r>
      <w:r w:rsidR="001718F2">
        <w:rPr>
          <w:rFonts w:ascii="Arial" w:hAnsi="Arial" w:cs="Arial"/>
        </w:rPr>
        <w:t xml:space="preserve"> Electoral</w:t>
      </w:r>
      <w:r w:rsidR="00B224E5" w:rsidRPr="006E30FA">
        <w:rPr>
          <w:rFonts w:ascii="Arial" w:hAnsi="Arial" w:cs="Arial"/>
        </w:rPr>
        <w:t xml:space="preserve">, teniendo en consideración que el acto reclamado fue </w:t>
      </w:r>
      <w:r w:rsidR="001718F2">
        <w:rPr>
          <w:rFonts w:ascii="Arial" w:hAnsi="Arial" w:cs="Arial"/>
        </w:rPr>
        <w:t xml:space="preserve">emitido el siete </w:t>
      </w:r>
      <w:r w:rsidR="00B224E5" w:rsidRPr="006E30FA">
        <w:rPr>
          <w:rFonts w:ascii="Arial" w:hAnsi="Arial" w:cs="Arial"/>
        </w:rPr>
        <w:t xml:space="preserve">de </w:t>
      </w:r>
      <w:r w:rsidR="001718F2">
        <w:rPr>
          <w:rFonts w:ascii="Arial" w:hAnsi="Arial" w:cs="Arial"/>
        </w:rPr>
        <w:t xml:space="preserve">noviembre </w:t>
      </w:r>
      <w:r w:rsidR="00B224E5" w:rsidRPr="006E30FA">
        <w:rPr>
          <w:rFonts w:ascii="Arial" w:hAnsi="Arial" w:cs="Arial"/>
        </w:rPr>
        <w:t>y la demanda fue</w:t>
      </w:r>
      <w:r w:rsidR="001718F2">
        <w:rPr>
          <w:rFonts w:ascii="Arial" w:hAnsi="Arial" w:cs="Arial"/>
        </w:rPr>
        <w:t xml:space="preserve"> </w:t>
      </w:r>
      <w:r w:rsidR="00B224E5" w:rsidRPr="006E30FA">
        <w:rPr>
          <w:rFonts w:ascii="Arial" w:hAnsi="Arial" w:cs="Arial"/>
        </w:rPr>
        <w:t xml:space="preserve">presentada </w:t>
      </w:r>
      <w:r w:rsidR="002A1E5E">
        <w:rPr>
          <w:rFonts w:ascii="Arial" w:hAnsi="Arial" w:cs="Arial"/>
        </w:rPr>
        <w:t xml:space="preserve">el trece de noviembre, es decir, </w:t>
      </w:r>
      <w:r w:rsidR="00B224E5" w:rsidRPr="006E30FA">
        <w:rPr>
          <w:rFonts w:ascii="Arial" w:hAnsi="Arial" w:cs="Arial"/>
        </w:rPr>
        <w:t xml:space="preserve">dentro de los cuatro días hábiles </w:t>
      </w:r>
      <w:r w:rsidR="001718F2">
        <w:rPr>
          <w:rFonts w:ascii="Arial" w:hAnsi="Arial" w:cs="Arial"/>
        </w:rPr>
        <w:t>siguientes</w:t>
      </w:r>
      <w:r w:rsidR="00B224E5" w:rsidRPr="006E30FA">
        <w:rPr>
          <w:rFonts w:ascii="Arial" w:hAnsi="Arial" w:cs="Arial"/>
        </w:rPr>
        <w:t xml:space="preserve">. </w:t>
      </w:r>
    </w:p>
    <w:p w14:paraId="4780AE34" w14:textId="77777777" w:rsidR="00B224E5" w:rsidRPr="006E30FA" w:rsidRDefault="00B224E5" w:rsidP="00056383">
      <w:pPr>
        <w:pStyle w:val="NormalWeb"/>
        <w:spacing w:before="0" w:beforeAutospacing="0" w:after="0" w:afterAutospacing="0" w:line="360" w:lineRule="auto"/>
        <w:contextualSpacing/>
        <w:mirrorIndents/>
        <w:jc w:val="both"/>
        <w:rPr>
          <w:rFonts w:ascii="Arial" w:hAnsi="Arial" w:cs="Arial"/>
          <w:b/>
        </w:rPr>
      </w:pPr>
    </w:p>
    <w:p w14:paraId="2EA7CD3E" w14:textId="68BBFEC7" w:rsidR="00B224E5" w:rsidRPr="006E30FA" w:rsidRDefault="00056383" w:rsidP="00056383">
      <w:pPr>
        <w:pStyle w:val="NormalWeb"/>
        <w:tabs>
          <w:tab w:val="center" w:pos="567"/>
          <w:tab w:val="right" w:pos="8838"/>
        </w:tabs>
        <w:spacing w:before="0" w:beforeAutospacing="0" w:after="0" w:afterAutospacing="0" w:line="360" w:lineRule="auto"/>
        <w:contextualSpacing/>
        <w:mirrorIndents/>
        <w:jc w:val="both"/>
        <w:rPr>
          <w:rFonts w:ascii="Arial" w:hAnsi="Arial" w:cs="Arial"/>
        </w:rPr>
      </w:pPr>
      <w:r>
        <w:rPr>
          <w:rFonts w:ascii="Arial" w:hAnsi="Arial" w:cs="Arial"/>
          <w:b/>
        </w:rPr>
        <w:t xml:space="preserve">c) </w:t>
      </w:r>
      <w:r w:rsidR="00B224E5" w:rsidRPr="006E30FA">
        <w:rPr>
          <w:rFonts w:ascii="Arial" w:hAnsi="Arial" w:cs="Arial"/>
          <w:b/>
        </w:rPr>
        <w:t xml:space="preserve">Legitimación y Personería. </w:t>
      </w:r>
      <w:r w:rsidR="00B224E5" w:rsidRPr="006E30FA">
        <w:rPr>
          <w:rFonts w:ascii="Arial" w:hAnsi="Arial" w:cs="Arial"/>
        </w:rPr>
        <w:t xml:space="preserve">El </w:t>
      </w:r>
      <w:r w:rsidR="001718F2">
        <w:rPr>
          <w:rFonts w:ascii="Arial" w:hAnsi="Arial" w:cs="Arial"/>
        </w:rPr>
        <w:t>r</w:t>
      </w:r>
      <w:r w:rsidR="00B224E5" w:rsidRPr="006E30FA">
        <w:rPr>
          <w:rFonts w:ascii="Arial" w:hAnsi="Arial" w:cs="Arial"/>
        </w:rPr>
        <w:t xml:space="preserve">ecurso de </w:t>
      </w:r>
      <w:r w:rsidR="001718F2">
        <w:rPr>
          <w:rFonts w:ascii="Arial" w:hAnsi="Arial" w:cs="Arial"/>
        </w:rPr>
        <w:t>a</w:t>
      </w:r>
      <w:r w:rsidR="00B224E5" w:rsidRPr="006E30FA">
        <w:rPr>
          <w:rFonts w:ascii="Arial" w:hAnsi="Arial" w:cs="Arial"/>
        </w:rPr>
        <w:t xml:space="preserve">pelación fue </w:t>
      </w:r>
      <w:r w:rsidR="001718F2">
        <w:rPr>
          <w:rFonts w:ascii="Arial" w:hAnsi="Arial" w:cs="Arial"/>
        </w:rPr>
        <w:t>promovido por la</w:t>
      </w:r>
      <w:r w:rsidR="00B224E5" w:rsidRPr="006E30FA">
        <w:rPr>
          <w:rFonts w:ascii="Arial" w:hAnsi="Arial" w:cs="Arial"/>
        </w:rPr>
        <w:t xml:space="preserve"> C. </w:t>
      </w:r>
      <w:r w:rsidR="001718F2">
        <w:rPr>
          <w:rFonts w:ascii="Arial" w:hAnsi="Arial" w:cs="Arial"/>
        </w:rPr>
        <w:t>Emma Gabriela Ramírez López,</w:t>
      </w:r>
      <w:r w:rsidR="00B224E5" w:rsidRPr="006E30FA">
        <w:rPr>
          <w:rFonts w:ascii="Arial" w:hAnsi="Arial" w:cs="Arial"/>
        </w:rPr>
        <w:t xml:space="preserve"> en su calidad de </w:t>
      </w:r>
      <w:r w:rsidR="001718F2">
        <w:rPr>
          <w:rFonts w:ascii="Arial" w:hAnsi="Arial" w:cs="Arial"/>
        </w:rPr>
        <w:t xml:space="preserve">presidenta y representante del </w:t>
      </w:r>
      <w:r w:rsidR="00B224E5" w:rsidRPr="006E30FA">
        <w:rPr>
          <w:rFonts w:ascii="Arial" w:hAnsi="Arial" w:cs="Arial"/>
        </w:rPr>
        <w:t xml:space="preserve">Partido </w:t>
      </w:r>
      <w:r w:rsidR="001718F2">
        <w:rPr>
          <w:rFonts w:ascii="Arial" w:hAnsi="Arial" w:cs="Arial"/>
        </w:rPr>
        <w:t>Libre de Aguascalientes</w:t>
      </w:r>
      <w:r w:rsidR="00B224E5" w:rsidRPr="006E30FA">
        <w:rPr>
          <w:rFonts w:ascii="Arial" w:hAnsi="Arial" w:cs="Arial"/>
        </w:rPr>
        <w:t xml:space="preserve"> ante el CG</w:t>
      </w:r>
      <w:r w:rsidR="001718F2">
        <w:rPr>
          <w:rFonts w:ascii="Arial" w:hAnsi="Arial" w:cs="Arial"/>
        </w:rPr>
        <w:t>, lo que acreditó con la certificación que adjuntó a la demanda y</w:t>
      </w:r>
      <w:r w:rsidR="002A1E5E">
        <w:rPr>
          <w:rFonts w:ascii="Arial" w:hAnsi="Arial" w:cs="Arial"/>
        </w:rPr>
        <w:t xml:space="preserve"> se corrobora</w:t>
      </w:r>
      <w:r w:rsidR="001718F2">
        <w:rPr>
          <w:rFonts w:ascii="Arial" w:hAnsi="Arial" w:cs="Arial"/>
        </w:rPr>
        <w:t xml:space="preserve"> con el reconocimiento hecho por el Secretario Ejecutivo en el informe circunstanciado que emitió.</w:t>
      </w:r>
    </w:p>
    <w:p w14:paraId="0A50151C" w14:textId="77777777" w:rsidR="00B224E5" w:rsidRPr="006E30FA" w:rsidRDefault="00B224E5" w:rsidP="00056383">
      <w:pPr>
        <w:pStyle w:val="NormalWeb"/>
        <w:tabs>
          <w:tab w:val="center" w:pos="567"/>
          <w:tab w:val="right" w:pos="8838"/>
        </w:tabs>
        <w:spacing w:before="0" w:beforeAutospacing="0" w:after="0" w:afterAutospacing="0" w:line="360" w:lineRule="auto"/>
        <w:contextualSpacing/>
        <w:mirrorIndents/>
        <w:jc w:val="both"/>
        <w:rPr>
          <w:rFonts w:ascii="Arial" w:hAnsi="Arial" w:cs="Arial"/>
        </w:rPr>
      </w:pPr>
    </w:p>
    <w:p w14:paraId="3D468B12" w14:textId="3D665AF4" w:rsidR="00B224E5" w:rsidRPr="006E30FA" w:rsidRDefault="00056383" w:rsidP="00056383">
      <w:pPr>
        <w:pStyle w:val="NormalWeb"/>
        <w:tabs>
          <w:tab w:val="center" w:pos="567"/>
          <w:tab w:val="right" w:pos="8838"/>
        </w:tabs>
        <w:spacing w:before="0" w:beforeAutospacing="0" w:after="0" w:afterAutospacing="0" w:line="360" w:lineRule="auto"/>
        <w:contextualSpacing/>
        <w:mirrorIndents/>
        <w:jc w:val="both"/>
        <w:rPr>
          <w:rFonts w:ascii="Arial" w:hAnsi="Arial" w:cs="Arial"/>
        </w:rPr>
      </w:pPr>
      <w:r>
        <w:rPr>
          <w:rFonts w:ascii="Arial" w:hAnsi="Arial" w:cs="Arial"/>
          <w:b/>
        </w:rPr>
        <w:t xml:space="preserve">d) </w:t>
      </w:r>
      <w:r w:rsidR="00B224E5" w:rsidRPr="006E30FA">
        <w:rPr>
          <w:rFonts w:ascii="Arial" w:hAnsi="Arial" w:cs="Arial"/>
          <w:b/>
        </w:rPr>
        <w:t xml:space="preserve">Interés Jurídico.  </w:t>
      </w:r>
      <w:r w:rsidR="001718F2">
        <w:rPr>
          <w:rFonts w:ascii="Arial" w:hAnsi="Arial" w:cs="Arial"/>
        </w:rPr>
        <w:t xml:space="preserve">El partido actor </w:t>
      </w:r>
      <w:r w:rsidR="00B224E5" w:rsidRPr="006E30FA">
        <w:rPr>
          <w:rFonts w:ascii="Arial" w:hAnsi="Arial" w:cs="Arial"/>
        </w:rPr>
        <w:t xml:space="preserve">tiene interés jurídico para promover el recurso de apelación, pues la resolución controvertida </w:t>
      </w:r>
      <w:r w:rsidR="001718F2">
        <w:rPr>
          <w:rFonts w:ascii="Arial" w:hAnsi="Arial" w:cs="Arial"/>
        </w:rPr>
        <w:t xml:space="preserve">es atinente a </w:t>
      </w:r>
      <w:r w:rsidR="00B224E5" w:rsidRPr="006E30FA">
        <w:rPr>
          <w:rFonts w:ascii="Arial" w:hAnsi="Arial" w:cs="Arial"/>
        </w:rPr>
        <w:t>la distribución del financiamiento público estatal a los partidos políticos</w:t>
      </w:r>
      <w:r w:rsidR="001718F2">
        <w:rPr>
          <w:rFonts w:ascii="Arial" w:hAnsi="Arial" w:cs="Arial"/>
        </w:rPr>
        <w:t xml:space="preserve"> de la entidad</w:t>
      </w:r>
      <w:r w:rsidR="00B224E5" w:rsidRPr="006E30FA">
        <w:rPr>
          <w:rFonts w:ascii="Arial" w:hAnsi="Arial" w:cs="Arial"/>
        </w:rPr>
        <w:t xml:space="preserve">, por lo que, con independencia de que le asista o no la razón en cuanto al fondo de la controversia, se cumple con el requisito de procedencia para su estudio. </w:t>
      </w:r>
    </w:p>
    <w:p w14:paraId="5651F858" w14:textId="77777777" w:rsidR="00B224E5" w:rsidRPr="006E30FA" w:rsidRDefault="00B224E5" w:rsidP="00056383">
      <w:pPr>
        <w:pStyle w:val="Prrafodelista"/>
        <w:spacing w:after="0" w:line="360" w:lineRule="auto"/>
        <w:rPr>
          <w:rFonts w:ascii="Arial" w:hAnsi="Arial" w:cs="Arial"/>
          <w:b/>
          <w:sz w:val="24"/>
          <w:szCs w:val="24"/>
        </w:rPr>
      </w:pPr>
    </w:p>
    <w:p w14:paraId="21B13AC3" w14:textId="26A26A8D" w:rsidR="00B224E5" w:rsidRPr="006E30FA" w:rsidRDefault="00056383" w:rsidP="00056383">
      <w:pPr>
        <w:pStyle w:val="NormalWeb"/>
        <w:tabs>
          <w:tab w:val="center" w:pos="567"/>
          <w:tab w:val="right" w:pos="8838"/>
        </w:tabs>
        <w:spacing w:before="0" w:beforeAutospacing="0" w:after="0" w:afterAutospacing="0" w:line="360" w:lineRule="auto"/>
        <w:contextualSpacing/>
        <w:mirrorIndents/>
        <w:jc w:val="both"/>
        <w:rPr>
          <w:rFonts w:ascii="Arial" w:hAnsi="Arial" w:cs="Arial"/>
        </w:rPr>
      </w:pPr>
      <w:r>
        <w:rPr>
          <w:rFonts w:ascii="Arial" w:hAnsi="Arial" w:cs="Arial"/>
          <w:b/>
        </w:rPr>
        <w:t xml:space="preserve">e) </w:t>
      </w:r>
      <w:r w:rsidR="00B224E5" w:rsidRPr="006E30FA">
        <w:rPr>
          <w:rFonts w:ascii="Arial" w:hAnsi="Arial" w:cs="Arial"/>
          <w:b/>
        </w:rPr>
        <w:t xml:space="preserve">Definitividad. </w:t>
      </w:r>
      <w:r w:rsidR="00B224E5" w:rsidRPr="006E30FA">
        <w:rPr>
          <w:rFonts w:ascii="Arial" w:hAnsi="Arial" w:cs="Arial"/>
        </w:rPr>
        <w:t>Se colma tal requisito, ya que, dentro del Código</w:t>
      </w:r>
      <w:r w:rsidR="001718F2">
        <w:rPr>
          <w:rFonts w:ascii="Arial" w:hAnsi="Arial" w:cs="Arial"/>
        </w:rPr>
        <w:t xml:space="preserve"> Electoral</w:t>
      </w:r>
      <w:r w:rsidR="00B224E5" w:rsidRPr="006E30FA">
        <w:rPr>
          <w:rFonts w:ascii="Arial" w:hAnsi="Arial" w:cs="Arial"/>
        </w:rPr>
        <w:t xml:space="preserve">, no se prevé medio de impugnación </w:t>
      </w:r>
      <w:r w:rsidR="001718F2">
        <w:rPr>
          <w:rFonts w:ascii="Arial" w:hAnsi="Arial" w:cs="Arial"/>
        </w:rPr>
        <w:t xml:space="preserve">diverso, por el que previamente </w:t>
      </w:r>
      <w:r w:rsidR="00B224E5" w:rsidRPr="006E30FA">
        <w:rPr>
          <w:rFonts w:ascii="Arial" w:hAnsi="Arial" w:cs="Arial"/>
        </w:rPr>
        <w:t>se pueda combatir el acto que se impugna.</w:t>
      </w:r>
    </w:p>
    <w:p w14:paraId="272808CF" w14:textId="77777777" w:rsidR="00B224E5" w:rsidRPr="006E30FA" w:rsidRDefault="00B224E5" w:rsidP="00056383">
      <w:pPr>
        <w:pStyle w:val="NormalWeb"/>
        <w:tabs>
          <w:tab w:val="center" w:pos="567"/>
          <w:tab w:val="right" w:pos="8838"/>
        </w:tabs>
        <w:spacing w:before="0" w:beforeAutospacing="0" w:after="0" w:afterAutospacing="0" w:line="360" w:lineRule="auto"/>
        <w:contextualSpacing/>
        <w:mirrorIndents/>
        <w:jc w:val="both"/>
        <w:rPr>
          <w:rFonts w:ascii="Arial" w:hAnsi="Arial" w:cs="Arial"/>
          <w:b/>
        </w:rPr>
      </w:pPr>
    </w:p>
    <w:p w14:paraId="0F235793" w14:textId="58CD4EA4" w:rsidR="00B224E5" w:rsidRDefault="00056383" w:rsidP="002A1E5E">
      <w:pPr>
        <w:pStyle w:val="Prrafodelista"/>
        <w:pBdr>
          <w:top w:val="nil"/>
          <w:left w:val="nil"/>
          <w:bottom w:val="nil"/>
          <w:right w:val="nil"/>
          <w:between w:val="nil"/>
        </w:pBdr>
        <w:tabs>
          <w:tab w:val="left" w:pos="0"/>
        </w:tabs>
        <w:spacing w:after="0" w:line="360" w:lineRule="auto"/>
        <w:ind w:left="0"/>
        <w:jc w:val="both"/>
        <w:rPr>
          <w:rFonts w:ascii="Arial" w:hAnsi="Arial" w:cs="Arial"/>
          <w:sz w:val="24"/>
          <w:szCs w:val="24"/>
        </w:rPr>
      </w:pPr>
      <w:r>
        <w:rPr>
          <w:rFonts w:ascii="Arial" w:hAnsi="Arial" w:cs="Arial"/>
          <w:b/>
          <w:bCs/>
          <w:sz w:val="24"/>
          <w:szCs w:val="24"/>
        </w:rPr>
        <w:t xml:space="preserve">TERCERO. COMPARECENCIA DE </w:t>
      </w:r>
      <w:r w:rsidR="00B224E5" w:rsidRPr="006E30FA">
        <w:rPr>
          <w:rFonts w:ascii="Arial" w:hAnsi="Arial" w:cs="Arial"/>
          <w:b/>
          <w:bCs/>
          <w:sz w:val="24"/>
          <w:szCs w:val="24"/>
        </w:rPr>
        <w:t xml:space="preserve">TERCEROS INTERESADOS. </w:t>
      </w:r>
      <w:r w:rsidR="001718F2" w:rsidRPr="001718F2">
        <w:rPr>
          <w:rFonts w:ascii="Arial" w:hAnsi="Arial" w:cs="Arial"/>
          <w:sz w:val="24"/>
          <w:szCs w:val="24"/>
        </w:rPr>
        <w:t>En el</w:t>
      </w:r>
      <w:r w:rsidR="001718F2">
        <w:rPr>
          <w:rFonts w:ascii="Arial" w:hAnsi="Arial" w:cs="Arial"/>
          <w:b/>
          <w:bCs/>
          <w:sz w:val="24"/>
          <w:szCs w:val="24"/>
        </w:rPr>
        <w:t xml:space="preserve"> </w:t>
      </w:r>
      <w:r w:rsidR="001718F2" w:rsidRPr="001718F2">
        <w:rPr>
          <w:rFonts w:ascii="Arial" w:hAnsi="Arial" w:cs="Arial"/>
          <w:sz w:val="24"/>
          <w:szCs w:val="24"/>
        </w:rPr>
        <w:t xml:space="preserve">expediente, </w:t>
      </w:r>
      <w:r>
        <w:rPr>
          <w:rFonts w:ascii="Arial" w:hAnsi="Arial" w:cs="Arial"/>
          <w:sz w:val="24"/>
          <w:szCs w:val="24"/>
        </w:rPr>
        <w:t xml:space="preserve">se apersonó </w:t>
      </w:r>
      <w:r w:rsidR="00B224E5" w:rsidRPr="006E30FA">
        <w:rPr>
          <w:rFonts w:ascii="Arial" w:eastAsia="Arial Nova" w:hAnsi="Arial" w:cs="Arial"/>
          <w:bCs/>
          <w:color w:val="000000" w:themeColor="text1"/>
          <w:sz w:val="24"/>
          <w:szCs w:val="24"/>
        </w:rPr>
        <w:t xml:space="preserve">como tercero interesado el </w:t>
      </w:r>
      <w:r w:rsidR="001718F2">
        <w:rPr>
          <w:rFonts w:ascii="Arial" w:eastAsia="Arial Nova" w:hAnsi="Arial" w:cs="Arial"/>
          <w:bCs/>
          <w:color w:val="000000" w:themeColor="text1"/>
          <w:sz w:val="24"/>
          <w:szCs w:val="24"/>
        </w:rPr>
        <w:t>PVEM</w:t>
      </w:r>
      <w:r w:rsidR="00B224E5" w:rsidRPr="006E30FA">
        <w:rPr>
          <w:rFonts w:ascii="Arial" w:eastAsia="Arial Nova" w:hAnsi="Arial" w:cs="Arial"/>
          <w:bCs/>
          <w:color w:val="000000" w:themeColor="text1"/>
          <w:sz w:val="24"/>
          <w:szCs w:val="24"/>
        </w:rPr>
        <w:t xml:space="preserve">, a través de su </w:t>
      </w:r>
      <w:r w:rsidR="001718F2">
        <w:rPr>
          <w:rFonts w:ascii="Arial" w:eastAsia="Arial Nova" w:hAnsi="Arial" w:cs="Arial"/>
          <w:bCs/>
          <w:color w:val="000000" w:themeColor="text1"/>
          <w:sz w:val="24"/>
          <w:szCs w:val="24"/>
        </w:rPr>
        <w:t>r</w:t>
      </w:r>
      <w:r w:rsidR="00B224E5" w:rsidRPr="006E30FA">
        <w:rPr>
          <w:rFonts w:ascii="Arial" w:eastAsia="Arial Nova" w:hAnsi="Arial" w:cs="Arial"/>
          <w:bCs/>
          <w:color w:val="000000" w:themeColor="text1"/>
          <w:sz w:val="24"/>
          <w:szCs w:val="24"/>
        </w:rPr>
        <w:t xml:space="preserve">epresentante </w:t>
      </w:r>
      <w:r w:rsidR="001718F2">
        <w:rPr>
          <w:rFonts w:ascii="Arial" w:eastAsia="Arial Nova" w:hAnsi="Arial" w:cs="Arial"/>
          <w:bCs/>
          <w:color w:val="000000" w:themeColor="text1"/>
          <w:sz w:val="24"/>
          <w:szCs w:val="24"/>
        </w:rPr>
        <w:t xml:space="preserve">propietario ante </w:t>
      </w:r>
      <w:r w:rsidR="00B224E5" w:rsidRPr="006E30FA">
        <w:rPr>
          <w:rFonts w:ascii="Arial" w:eastAsia="Arial Nova" w:hAnsi="Arial" w:cs="Arial"/>
          <w:bCs/>
          <w:color w:val="000000" w:themeColor="text1"/>
          <w:sz w:val="24"/>
          <w:szCs w:val="24"/>
        </w:rPr>
        <w:t>el</w:t>
      </w:r>
      <w:r w:rsidR="001718F2">
        <w:rPr>
          <w:rFonts w:ascii="Arial" w:eastAsia="Arial Nova" w:hAnsi="Arial" w:cs="Arial"/>
          <w:bCs/>
          <w:color w:val="000000" w:themeColor="text1"/>
          <w:sz w:val="24"/>
          <w:szCs w:val="24"/>
        </w:rPr>
        <w:t xml:space="preserve"> CG</w:t>
      </w:r>
      <w:r w:rsidR="00B224E5" w:rsidRPr="006E30FA">
        <w:rPr>
          <w:rFonts w:ascii="Arial" w:eastAsia="Arial Nova" w:hAnsi="Arial" w:cs="Arial"/>
          <w:bCs/>
          <w:color w:val="000000" w:themeColor="text1"/>
          <w:sz w:val="24"/>
          <w:szCs w:val="24"/>
        </w:rPr>
        <w:t>, al tener un interés incompatible con la pretensión de l</w:t>
      </w:r>
      <w:r w:rsidR="001718F2">
        <w:rPr>
          <w:rFonts w:ascii="Arial" w:eastAsia="Arial Nova" w:hAnsi="Arial" w:cs="Arial"/>
          <w:bCs/>
          <w:color w:val="000000" w:themeColor="text1"/>
          <w:sz w:val="24"/>
          <w:szCs w:val="24"/>
        </w:rPr>
        <w:t>a</w:t>
      </w:r>
      <w:r w:rsidR="00B224E5" w:rsidRPr="006E30FA">
        <w:rPr>
          <w:rFonts w:ascii="Arial" w:eastAsia="Arial Nova" w:hAnsi="Arial" w:cs="Arial"/>
          <w:bCs/>
          <w:color w:val="000000" w:themeColor="text1"/>
          <w:sz w:val="24"/>
          <w:szCs w:val="24"/>
        </w:rPr>
        <w:t xml:space="preserve"> recurrente, </w:t>
      </w:r>
      <w:r w:rsidR="00B224E5" w:rsidRPr="006E30FA">
        <w:rPr>
          <w:rFonts w:ascii="Arial" w:hAnsi="Arial" w:cs="Arial"/>
          <w:sz w:val="24"/>
          <w:szCs w:val="24"/>
        </w:rPr>
        <w:t>presentó su escrito dentro del término de setenta y dos horas previsto en el artículo 311, fracción III, del Código Electoral, conteniendo su nombre y firma, así como las alegaciones correspondientes</w:t>
      </w:r>
      <w:r w:rsidR="002A1E5E">
        <w:rPr>
          <w:rFonts w:ascii="Arial" w:hAnsi="Arial" w:cs="Arial"/>
          <w:sz w:val="24"/>
          <w:szCs w:val="24"/>
        </w:rPr>
        <w:t>, por lo que se le reconoció el carácter de tercero interesado en el expediente.</w:t>
      </w:r>
    </w:p>
    <w:p w14:paraId="40D08E82" w14:textId="77777777" w:rsidR="00056383" w:rsidRPr="006E30FA" w:rsidRDefault="00056383" w:rsidP="00B45312">
      <w:pPr>
        <w:pBdr>
          <w:top w:val="nil"/>
          <w:left w:val="nil"/>
          <w:bottom w:val="nil"/>
          <w:right w:val="nil"/>
          <w:between w:val="nil"/>
        </w:pBdr>
        <w:tabs>
          <w:tab w:val="left" w:pos="0"/>
        </w:tabs>
        <w:spacing w:after="0" w:line="360" w:lineRule="auto"/>
        <w:jc w:val="both"/>
        <w:rPr>
          <w:rFonts w:ascii="Arial" w:hAnsi="Arial" w:cs="Arial"/>
          <w:sz w:val="24"/>
          <w:szCs w:val="24"/>
        </w:rPr>
      </w:pPr>
    </w:p>
    <w:p w14:paraId="42CDA5B6" w14:textId="4A1CB84C" w:rsidR="002A0109" w:rsidRDefault="00056383" w:rsidP="00B45312">
      <w:pPr>
        <w:pBdr>
          <w:top w:val="nil"/>
          <w:left w:val="nil"/>
          <w:bottom w:val="nil"/>
          <w:right w:val="nil"/>
          <w:between w:val="nil"/>
        </w:pBdr>
        <w:tabs>
          <w:tab w:val="left" w:pos="0"/>
        </w:tabs>
        <w:spacing w:after="0" w:line="360" w:lineRule="auto"/>
        <w:jc w:val="both"/>
        <w:rPr>
          <w:rFonts w:ascii="Arial" w:hAnsi="Arial" w:cs="Arial"/>
          <w:bCs/>
          <w:sz w:val="24"/>
          <w:szCs w:val="24"/>
        </w:rPr>
      </w:pPr>
      <w:r>
        <w:rPr>
          <w:rFonts w:ascii="Arial" w:hAnsi="Arial" w:cs="Arial"/>
          <w:b/>
          <w:sz w:val="24"/>
          <w:szCs w:val="24"/>
        </w:rPr>
        <w:t xml:space="preserve">CUARTO. </w:t>
      </w:r>
      <w:r w:rsidR="00B224E5" w:rsidRPr="00056383">
        <w:rPr>
          <w:rFonts w:ascii="Arial" w:hAnsi="Arial" w:cs="Arial"/>
          <w:b/>
          <w:sz w:val="24"/>
          <w:szCs w:val="24"/>
        </w:rPr>
        <w:t xml:space="preserve">SÍNTESIS DE AGRAVIOS. </w:t>
      </w:r>
      <w:r w:rsidR="00502512">
        <w:rPr>
          <w:rFonts w:ascii="Arial" w:hAnsi="Arial" w:cs="Arial"/>
          <w:bCs/>
          <w:sz w:val="24"/>
          <w:szCs w:val="24"/>
        </w:rPr>
        <w:t xml:space="preserve">En esencia, </w:t>
      </w:r>
      <w:r w:rsidR="007527C1">
        <w:rPr>
          <w:rFonts w:ascii="Arial" w:hAnsi="Arial" w:cs="Arial"/>
          <w:bCs/>
          <w:sz w:val="24"/>
          <w:szCs w:val="24"/>
        </w:rPr>
        <w:t xml:space="preserve">la recurrente </w:t>
      </w:r>
      <w:r w:rsidR="00502512">
        <w:rPr>
          <w:rFonts w:ascii="Arial" w:hAnsi="Arial" w:cs="Arial"/>
          <w:bCs/>
          <w:sz w:val="24"/>
          <w:szCs w:val="24"/>
        </w:rPr>
        <w:t xml:space="preserve">se duele de que </w:t>
      </w:r>
      <w:r w:rsidR="00EB1AC6">
        <w:rPr>
          <w:rFonts w:ascii="Arial" w:hAnsi="Arial" w:cs="Arial"/>
          <w:bCs/>
          <w:sz w:val="24"/>
          <w:szCs w:val="24"/>
        </w:rPr>
        <w:t xml:space="preserve">en </w:t>
      </w:r>
      <w:r w:rsidR="00D8450E">
        <w:rPr>
          <w:rFonts w:ascii="Arial" w:hAnsi="Arial" w:cs="Arial"/>
          <w:bCs/>
          <w:sz w:val="24"/>
          <w:szCs w:val="24"/>
        </w:rPr>
        <w:t xml:space="preserve">el acuerdo CG-A-53/19, </w:t>
      </w:r>
      <w:r w:rsidR="00EB1AC6">
        <w:rPr>
          <w:rFonts w:ascii="Arial" w:hAnsi="Arial" w:cs="Arial"/>
          <w:bCs/>
          <w:sz w:val="24"/>
          <w:szCs w:val="24"/>
        </w:rPr>
        <w:t xml:space="preserve">el CG </w:t>
      </w:r>
      <w:r w:rsidR="00D8450E">
        <w:rPr>
          <w:rFonts w:ascii="Arial" w:hAnsi="Arial" w:cs="Arial"/>
          <w:bCs/>
          <w:sz w:val="24"/>
          <w:szCs w:val="24"/>
        </w:rPr>
        <w:t>indebidamente consideró al PLA</w:t>
      </w:r>
      <w:r w:rsidR="00502512">
        <w:rPr>
          <w:rFonts w:ascii="Arial" w:hAnsi="Arial" w:cs="Arial"/>
          <w:bCs/>
          <w:sz w:val="24"/>
          <w:szCs w:val="24"/>
        </w:rPr>
        <w:t xml:space="preserve">, </w:t>
      </w:r>
      <w:r w:rsidR="00D8450E">
        <w:rPr>
          <w:rFonts w:ascii="Arial" w:hAnsi="Arial" w:cs="Arial"/>
          <w:bCs/>
          <w:sz w:val="24"/>
          <w:szCs w:val="24"/>
        </w:rPr>
        <w:t xml:space="preserve">como </w:t>
      </w:r>
      <w:r w:rsidR="00502512">
        <w:rPr>
          <w:rFonts w:ascii="Arial" w:hAnsi="Arial" w:cs="Arial"/>
          <w:bCs/>
          <w:sz w:val="24"/>
          <w:szCs w:val="24"/>
        </w:rPr>
        <w:t xml:space="preserve">un partido de </w:t>
      </w:r>
      <w:r w:rsidR="00D8450E">
        <w:rPr>
          <w:rFonts w:ascii="Arial" w:hAnsi="Arial" w:cs="Arial"/>
          <w:bCs/>
          <w:sz w:val="24"/>
          <w:szCs w:val="24"/>
        </w:rPr>
        <w:t>nueva creación</w:t>
      </w:r>
      <w:r w:rsidR="00EB1AC6">
        <w:rPr>
          <w:rFonts w:ascii="Arial" w:hAnsi="Arial" w:cs="Arial"/>
          <w:bCs/>
          <w:sz w:val="24"/>
          <w:szCs w:val="24"/>
        </w:rPr>
        <w:t xml:space="preserve">, para definir </w:t>
      </w:r>
      <w:r w:rsidR="00B45312">
        <w:rPr>
          <w:rFonts w:ascii="Arial" w:hAnsi="Arial" w:cs="Arial"/>
          <w:bCs/>
          <w:sz w:val="24"/>
          <w:szCs w:val="24"/>
        </w:rPr>
        <w:t xml:space="preserve">la </w:t>
      </w:r>
      <w:r w:rsidR="00502512">
        <w:rPr>
          <w:rFonts w:ascii="Arial" w:hAnsi="Arial" w:cs="Arial"/>
          <w:bCs/>
          <w:sz w:val="24"/>
          <w:szCs w:val="24"/>
        </w:rPr>
        <w:t xml:space="preserve">distribución del financiamiento público </w:t>
      </w:r>
      <w:r w:rsidR="00B45312">
        <w:rPr>
          <w:rFonts w:ascii="Arial" w:hAnsi="Arial" w:cs="Arial"/>
          <w:bCs/>
          <w:sz w:val="24"/>
          <w:szCs w:val="24"/>
        </w:rPr>
        <w:t>que le corresponderá para el ejercicio fiscal dos mil veinte.</w:t>
      </w:r>
    </w:p>
    <w:p w14:paraId="181C3584" w14:textId="77777777" w:rsidR="00502512" w:rsidRDefault="00502512" w:rsidP="00B45312">
      <w:pPr>
        <w:pBdr>
          <w:top w:val="nil"/>
          <w:left w:val="nil"/>
          <w:bottom w:val="nil"/>
          <w:right w:val="nil"/>
          <w:between w:val="nil"/>
        </w:pBdr>
        <w:tabs>
          <w:tab w:val="left" w:pos="0"/>
        </w:tabs>
        <w:spacing w:after="0" w:line="360" w:lineRule="auto"/>
        <w:jc w:val="both"/>
        <w:rPr>
          <w:rFonts w:ascii="Arial" w:hAnsi="Arial" w:cs="Arial"/>
          <w:bCs/>
          <w:sz w:val="24"/>
          <w:szCs w:val="24"/>
        </w:rPr>
      </w:pPr>
    </w:p>
    <w:p w14:paraId="3B15AC43" w14:textId="77777777" w:rsidR="00345B3F" w:rsidRDefault="00345B3F" w:rsidP="00B45312">
      <w:pPr>
        <w:pBdr>
          <w:top w:val="nil"/>
          <w:left w:val="nil"/>
          <w:bottom w:val="nil"/>
          <w:right w:val="nil"/>
          <w:between w:val="nil"/>
        </w:pBdr>
        <w:tabs>
          <w:tab w:val="left" w:pos="0"/>
        </w:tabs>
        <w:spacing w:after="0" w:line="360" w:lineRule="auto"/>
        <w:jc w:val="both"/>
        <w:rPr>
          <w:rFonts w:ascii="Arial" w:hAnsi="Arial" w:cs="Arial"/>
          <w:bCs/>
          <w:sz w:val="24"/>
          <w:szCs w:val="24"/>
        </w:rPr>
      </w:pPr>
    </w:p>
    <w:p w14:paraId="10C0D070" w14:textId="77777777" w:rsidR="00345B3F" w:rsidRDefault="00345B3F" w:rsidP="00B45312">
      <w:pPr>
        <w:pBdr>
          <w:top w:val="nil"/>
          <w:left w:val="nil"/>
          <w:bottom w:val="nil"/>
          <w:right w:val="nil"/>
          <w:between w:val="nil"/>
        </w:pBdr>
        <w:tabs>
          <w:tab w:val="left" w:pos="0"/>
        </w:tabs>
        <w:spacing w:after="0" w:line="360" w:lineRule="auto"/>
        <w:jc w:val="both"/>
        <w:rPr>
          <w:rFonts w:ascii="Arial" w:hAnsi="Arial" w:cs="Arial"/>
          <w:bCs/>
          <w:sz w:val="24"/>
          <w:szCs w:val="24"/>
        </w:rPr>
      </w:pPr>
    </w:p>
    <w:p w14:paraId="066975D4" w14:textId="77777777" w:rsidR="00345B3F" w:rsidRDefault="00345B3F" w:rsidP="00B45312">
      <w:pPr>
        <w:pBdr>
          <w:top w:val="nil"/>
          <w:left w:val="nil"/>
          <w:bottom w:val="nil"/>
          <w:right w:val="nil"/>
          <w:between w:val="nil"/>
        </w:pBdr>
        <w:tabs>
          <w:tab w:val="left" w:pos="0"/>
        </w:tabs>
        <w:spacing w:after="0" w:line="360" w:lineRule="auto"/>
        <w:jc w:val="both"/>
        <w:rPr>
          <w:rFonts w:ascii="Arial" w:hAnsi="Arial" w:cs="Arial"/>
          <w:bCs/>
          <w:sz w:val="24"/>
          <w:szCs w:val="24"/>
        </w:rPr>
      </w:pPr>
    </w:p>
    <w:p w14:paraId="45A0CD49" w14:textId="77777777" w:rsidR="00345B3F" w:rsidRDefault="00345B3F" w:rsidP="00B45312">
      <w:pPr>
        <w:pBdr>
          <w:top w:val="nil"/>
          <w:left w:val="nil"/>
          <w:bottom w:val="nil"/>
          <w:right w:val="nil"/>
          <w:between w:val="nil"/>
        </w:pBdr>
        <w:tabs>
          <w:tab w:val="left" w:pos="0"/>
        </w:tabs>
        <w:spacing w:after="0" w:line="360" w:lineRule="auto"/>
        <w:jc w:val="both"/>
        <w:rPr>
          <w:rFonts w:ascii="Arial" w:hAnsi="Arial" w:cs="Arial"/>
          <w:bCs/>
          <w:sz w:val="24"/>
          <w:szCs w:val="24"/>
        </w:rPr>
      </w:pPr>
    </w:p>
    <w:p w14:paraId="7F8B1E9F" w14:textId="16DA093B" w:rsidR="00502512" w:rsidRDefault="00502512" w:rsidP="00B45312">
      <w:pPr>
        <w:pBdr>
          <w:top w:val="nil"/>
          <w:left w:val="nil"/>
          <w:bottom w:val="nil"/>
          <w:right w:val="nil"/>
          <w:between w:val="nil"/>
        </w:pBdr>
        <w:tabs>
          <w:tab w:val="left" w:pos="0"/>
        </w:tabs>
        <w:spacing w:after="0" w:line="360" w:lineRule="auto"/>
        <w:jc w:val="both"/>
        <w:rPr>
          <w:rFonts w:ascii="Arial" w:hAnsi="Arial" w:cs="Arial"/>
          <w:bCs/>
          <w:sz w:val="24"/>
          <w:szCs w:val="24"/>
        </w:rPr>
      </w:pPr>
      <w:r>
        <w:rPr>
          <w:rFonts w:ascii="Arial" w:hAnsi="Arial" w:cs="Arial"/>
          <w:bCs/>
          <w:sz w:val="24"/>
          <w:szCs w:val="24"/>
        </w:rPr>
        <w:lastRenderedPageBreak/>
        <w:t xml:space="preserve">Aduce que: </w:t>
      </w:r>
    </w:p>
    <w:p w14:paraId="329A62F9" w14:textId="77777777" w:rsidR="00502512" w:rsidRDefault="00502512" w:rsidP="00B45312">
      <w:pPr>
        <w:pBdr>
          <w:top w:val="nil"/>
          <w:left w:val="nil"/>
          <w:bottom w:val="nil"/>
          <w:right w:val="nil"/>
          <w:between w:val="nil"/>
        </w:pBdr>
        <w:tabs>
          <w:tab w:val="left" w:pos="0"/>
        </w:tabs>
        <w:spacing w:after="0" w:line="360" w:lineRule="auto"/>
        <w:jc w:val="both"/>
        <w:rPr>
          <w:rFonts w:ascii="Arial" w:hAnsi="Arial" w:cs="Arial"/>
          <w:bCs/>
          <w:sz w:val="24"/>
          <w:szCs w:val="24"/>
        </w:rPr>
      </w:pPr>
    </w:p>
    <w:p w14:paraId="29D11FF7" w14:textId="6B3DEE30" w:rsidR="0042107B" w:rsidRDefault="00502512" w:rsidP="00B45312">
      <w:pPr>
        <w:pBdr>
          <w:top w:val="nil"/>
          <w:left w:val="nil"/>
          <w:bottom w:val="nil"/>
          <w:right w:val="nil"/>
          <w:between w:val="nil"/>
        </w:pBdr>
        <w:tabs>
          <w:tab w:val="left" w:pos="0"/>
        </w:tabs>
        <w:spacing w:after="0" w:line="360" w:lineRule="auto"/>
        <w:jc w:val="both"/>
        <w:rPr>
          <w:rFonts w:ascii="Arial" w:hAnsi="Arial" w:cs="Arial"/>
          <w:bCs/>
          <w:sz w:val="24"/>
          <w:szCs w:val="24"/>
        </w:rPr>
      </w:pPr>
      <w:r>
        <w:rPr>
          <w:rFonts w:ascii="Arial" w:hAnsi="Arial" w:cs="Arial"/>
          <w:bCs/>
          <w:sz w:val="24"/>
          <w:szCs w:val="24"/>
        </w:rPr>
        <w:t>a) E</w:t>
      </w:r>
      <w:r w:rsidR="0042107B">
        <w:rPr>
          <w:rFonts w:ascii="Arial" w:hAnsi="Arial" w:cs="Arial"/>
          <w:bCs/>
          <w:sz w:val="24"/>
          <w:szCs w:val="24"/>
        </w:rPr>
        <w:t xml:space="preserve">l CG no tomó en consideración que el PLA </w:t>
      </w:r>
      <w:r w:rsidR="003C6547">
        <w:rPr>
          <w:rFonts w:ascii="Arial" w:hAnsi="Arial" w:cs="Arial"/>
          <w:bCs/>
          <w:sz w:val="24"/>
          <w:szCs w:val="24"/>
        </w:rPr>
        <w:t xml:space="preserve">participó en la elección de ayuntamientos del dos de junio y </w:t>
      </w:r>
      <w:r w:rsidR="0042107B">
        <w:rPr>
          <w:rFonts w:ascii="Arial" w:hAnsi="Arial" w:cs="Arial"/>
          <w:bCs/>
          <w:sz w:val="24"/>
          <w:szCs w:val="24"/>
        </w:rPr>
        <w:t>obtuvo un porcentaje de votación del 3.74%</w:t>
      </w:r>
      <w:r w:rsidR="00E9365B">
        <w:rPr>
          <w:rFonts w:ascii="Arial" w:hAnsi="Arial" w:cs="Arial"/>
          <w:bCs/>
          <w:sz w:val="24"/>
          <w:szCs w:val="24"/>
        </w:rPr>
        <w:t>, por lo que no e</w:t>
      </w:r>
      <w:r>
        <w:rPr>
          <w:rFonts w:ascii="Arial" w:hAnsi="Arial" w:cs="Arial"/>
          <w:bCs/>
          <w:sz w:val="24"/>
          <w:szCs w:val="24"/>
        </w:rPr>
        <w:t>ra</w:t>
      </w:r>
      <w:r w:rsidR="00E9365B">
        <w:rPr>
          <w:rFonts w:ascii="Arial" w:hAnsi="Arial" w:cs="Arial"/>
          <w:bCs/>
          <w:sz w:val="24"/>
          <w:szCs w:val="24"/>
        </w:rPr>
        <w:t xml:space="preserve"> posible que se le consider</w:t>
      </w:r>
      <w:r>
        <w:rPr>
          <w:rFonts w:ascii="Arial" w:hAnsi="Arial" w:cs="Arial"/>
          <w:bCs/>
          <w:sz w:val="24"/>
          <w:szCs w:val="24"/>
        </w:rPr>
        <w:t>ara</w:t>
      </w:r>
      <w:r w:rsidR="00E9365B">
        <w:rPr>
          <w:rFonts w:ascii="Arial" w:hAnsi="Arial" w:cs="Arial"/>
          <w:bCs/>
          <w:sz w:val="24"/>
          <w:szCs w:val="24"/>
        </w:rPr>
        <w:t xml:space="preserve"> como un partido político de nueva creación.</w:t>
      </w:r>
    </w:p>
    <w:p w14:paraId="4481C6CF" w14:textId="41B4D3DB" w:rsidR="00E9365B" w:rsidRDefault="00E9365B" w:rsidP="00B45312">
      <w:pPr>
        <w:pBdr>
          <w:top w:val="nil"/>
          <w:left w:val="nil"/>
          <w:bottom w:val="nil"/>
          <w:right w:val="nil"/>
          <w:between w:val="nil"/>
        </w:pBdr>
        <w:tabs>
          <w:tab w:val="left" w:pos="0"/>
        </w:tabs>
        <w:spacing w:after="0" w:line="360" w:lineRule="auto"/>
        <w:jc w:val="both"/>
        <w:rPr>
          <w:rFonts w:ascii="Arial" w:hAnsi="Arial" w:cs="Arial"/>
          <w:bCs/>
          <w:sz w:val="24"/>
          <w:szCs w:val="24"/>
        </w:rPr>
      </w:pPr>
    </w:p>
    <w:p w14:paraId="51305E89" w14:textId="29CD87AF" w:rsidR="00E9365B" w:rsidRDefault="00E9365B" w:rsidP="00B45312">
      <w:pPr>
        <w:pBdr>
          <w:top w:val="nil"/>
          <w:left w:val="nil"/>
          <w:bottom w:val="nil"/>
          <w:right w:val="nil"/>
          <w:between w:val="nil"/>
        </w:pBdr>
        <w:tabs>
          <w:tab w:val="left" w:pos="0"/>
        </w:tabs>
        <w:spacing w:after="0" w:line="360" w:lineRule="auto"/>
        <w:jc w:val="both"/>
        <w:rPr>
          <w:rFonts w:ascii="Arial" w:hAnsi="Arial" w:cs="Arial"/>
          <w:bCs/>
          <w:sz w:val="24"/>
          <w:szCs w:val="24"/>
        </w:rPr>
      </w:pPr>
      <w:r>
        <w:rPr>
          <w:rFonts w:ascii="Arial" w:hAnsi="Arial" w:cs="Arial"/>
          <w:bCs/>
          <w:sz w:val="24"/>
          <w:szCs w:val="24"/>
        </w:rPr>
        <w:t>Que</w:t>
      </w:r>
      <w:r w:rsidR="00502512">
        <w:rPr>
          <w:rFonts w:ascii="Arial" w:hAnsi="Arial" w:cs="Arial"/>
          <w:bCs/>
          <w:sz w:val="24"/>
          <w:szCs w:val="24"/>
        </w:rPr>
        <w:t>,</w:t>
      </w:r>
      <w:r>
        <w:rPr>
          <w:rFonts w:ascii="Arial" w:hAnsi="Arial" w:cs="Arial"/>
          <w:bCs/>
          <w:sz w:val="24"/>
          <w:szCs w:val="24"/>
        </w:rPr>
        <w:t xml:space="preserve"> en esas condiciones, no le corresponde la asignación de financiamiento como partido </w:t>
      </w:r>
      <w:r w:rsidR="002A1E5E">
        <w:rPr>
          <w:rFonts w:ascii="Arial" w:hAnsi="Arial" w:cs="Arial"/>
          <w:bCs/>
          <w:sz w:val="24"/>
          <w:szCs w:val="24"/>
        </w:rPr>
        <w:t xml:space="preserve">de </w:t>
      </w:r>
      <w:r>
        <w:rPr>
          <w:rFonts w:ascii="Arial" w:hAnsi="Arial" w:cs="Arial"/>
          <w:bCs/>
          <w:sz w:val="24"/>
          <w:szCs w:val="24"/>
        </w:rPr>
        <w:t>nueva creación.</w:t>
      </w:r>
    </w:p>
    <w:p w14:paraId="0BE53D97" w14:textId="747885B8" w:rsidR="00E9365B" w:rsidRDefault="00E9365B" w:rsidP="00B45312">
      <w:pPr>
        <w:pBdr>
          <w:top w:val="nil"/>
          <w:left w:val="nil"/>
          <w:bottom w:val="nil"/>
          <w:right w:val="nil"/>
          <w:between w:val="nil"/>
        </w:pBdr>
        <w:tabs>
          <w:tab w:val="left" w:pos="0"/>
        </w:tabs>
        <w:spacing w:after="0" w:line="360" w:lineRule="auto"/>
        <w:jc w:val="both"/>
        <w:rPr>
          <w:rFonts w:ascii="Arial" w:hAnsi="Arial" w:cs="Arial"/>
          <w:bCs/>
          <w:sz w:val="24"/>
          <w:szCs w:val="24"/>
        </w:rPr>
      </w:pPr>
    </w:p>
    <w:p w14:paraId="4EAEE911" w14:textId="3CA6D27E" w:rsidR="00E9365B" w:rsidRDefault="00502512" w:rsidP="00B45312">
      <w:pPr>
        <w:pBdr>
          <w:top w:val="nil"/>
          <w:left w:val="nil"/>
          <w:bottom w:val="nil"/>
          <w:right w:val="nil"/>
          <w:between w:val="nil"/>
        </w:pBdr>
        <w:tabs>
          <w:tab w:val="left" w:pos="0"/>
        </w:tabs>
        <w:spacing w:after="0" w:line="360" w:lineRule="auto"/>
        <w:jc w:val="both"/>
        <w:rPr>
          <w:rFonts w:ascii="Arial" w:hAnsi="Arial" w:cs="Arial"/>
          <w:bCs/>
          <w:sz w:val="24"/>
          <w:szCs w:val="24"/>
        </w:rPr>
      </w:pPr>
      <w:r>
        <w:rPr>
          <w:rFonts w:ascii="Arial" w:hAnsi="Arial" w:cs="Arial"/>
          <w:bCs/>
          <w:sz w:val="24"/>
          <w:szCs w:val="24"/>
        </w:rPr>
        <w:t xml:space="preserve">b) </w:t>
      </w:r>
      <w:r w:rsidR="00E9365B">
        <w:rPr>
          <w:rFonts w:ascii="Arial" w:hAnsi="Arial" w:cs="Arial"/>
          <w:bCs/>
          <w:sz w:val="24"/>
          <w:szCs w:val="24"/>
        </w:rPr>
        <w:t>Aduce que la autoridad responsable</w:t>
      </w:r>
      <w:r>
        <w:rPr>
          <w:rFonts w:ascii="Arial" w:hAnsi="Arial" w:cs="Arial"/>
          <w:bCs/>
          <w:sz w:val="24"/>
          <w:szCs w:val="24"/>
        </w:rPr>
        <w:t>,</w:t>
      </w:r>
      <w:r w:rsidR="00E9365B">
        <w:rPr>
          <w:rFonts w:ascii="Arial" w:hAnsi="Arial" w:cs="Arial"/>
          <w:bCs/>
          <w:sz w:val="24"/>
          <w:szCs w:val="24"/>
        </w:rPr>
        <w:t xml:space="preserve"> emitió el acuerdo impugnado sin haberle dado la oportunidad de recabar y aportar pruebas para demostrar que no se trata</w:t>
      </w:r>
      <w:r>
        <w:rPr>
          <w:rFonts w:ascii="Arial" w:hAnsi="Arial" w:cs="Arial"/>
          <w:bCs/>
          <w:sz w:val="24"/>
          <w:szCs w:val="24"/>
        </w:rPr>
        <w:t>ba</w:t>
      </w:r>
      <w:r w:rsidR="00E9365B">
        <w:rPr>
          <w:rFonts w:ascii="Arial" w:hAnsi="Arial" w:cs="Arial"/>
          <w:bCs/>
          <w:sz w:val="24"/>
          <w:szCs w:val="24"/>
        </w:rPr>
        <w:t xml:space="preserve"> de un partido político </w:t>
      </w:r>
      <w:r w:rsidR="002A1E5E">
        <w:rPr>
          <w:rFonts w:ascii="Arial" w:hAnsi="Arial" w:cs="Arial"/>
          <w:bCs/>
          <w:sz w:val="24"/>
          <w:szCs w:val="24"/>
        </w:rPr>
        <w:t>nuevo</w:t>
      </w:r>
      <w:r w:rsidR="00E9365B">
        <w:rPr>
          <w:rFonts w:ascii="Arial" w:hAnsi="Arial" w:cs="Arial"/>
          <w:bCs/>
          <w:sz w:val="24"/>
          <w:szCs w:val="24"/>
        </w:rPr>
        <w:t>.</w:t>
      </w:r>
    </w:p>
    <w:p w14:paraId="60EEC45C" w14:textId="42EFE9B2" w:rsidR="00502512" w:rsidRDefault="00502512" w:rsidP="00B45312">
      <w:pPr>
        <w:pBdr>
          <w:top w:val="nil"/>
          <w:left w:val="nil"/>
          <w:bottom w:val="nil"/>
          <w:right w:val="nil"/>
          <w:between w:val="nil"/>
        </w:pBdr>
        <w:tabs>
          <w:tab w:val="left" w:pos="0"/>
        </w:tabs>
        <w:spacing w:after="0" w:line="360" w:lineRule="auto"/>
        <w:jc w:val="both"/>
        <w:rPr>
          <w:rFonts w:ascii="Arial" w:hAnsi="Arial" w:cs="Arial"/>
          <w:bCs/>
          <w:sz w:val="24"/>
          <w:szCs w:val="24"/>
        </w:rPr>
      </w:pPr>
    </w:p>
    <w:p w14:paraId="08E51734" w14:textId="2115E506" w:rsidR="00502512" w:rsidRDefault="00502512" w:rsidP="00B45312">
      <w:pPr>
        <w:pBdr>
          <w:top w:val="nil"/>
          <w:left w:val="nil"/>
          <w:bottom w:val="nil"/>
          <w:right w:val="nil"/>
          <w:between w:val="nil"/>
        </w:pBdr>
        <w:tabs>
          <w:tab w:val="left" w:pos="0"/>
        </w:tabs>
        <w:spacing w:after="0" w:line="360" w:lineRule="auto"/>
        <w:jc w:val="both"/>
        <w:rPr>
          <w:rFonts w:ascii="Arial" w:hAnsi="Arial" w:cs="Arial"/>
          <w:bCs/>
          <w:sz w:val="24"/>
          <w:szCs w:val="24"/>
        </w:rPr>
      </w:pPr>
      <w:r>
        <w:rPr>
          <w:rFonts w:ascii="Arial" w:hAnsi="Arial" w:cs="Arial"/>
          <w:bCs/>
          <w:sz w:val="24"/>
          <w:szCs w:val="24"/>
        </w:rPr>
        <w:t xml:space="preserve">c) También refiere que la autoridad responsable no recabó prueba alguna para sustentar que el PLA </w:t>
      </w:r>
      <w:r w:rsidR="006F41F6">
        <w:rPr>
          <w:rFonts w:ascii="Arial" w:hAnsi="Arial" w:cs="Arial"/>
          <w:bCs/>
          <w:sz w:val="24"/>
          <w:szCs w:val="24"/>
        </w:rPr>
        <w:t xml:space="preserve">se trataba de un partido de </w:t>
      </w:r>
      <w:r w:rsidR="002A1E5E">
        <w:rPr>
          <w:rFonts w:ascii="Arial" w:hAnsi="Arial" w:cs="Arial"/>
          <w:bCs/>
          <w:sz w:val="24"/>
          <w:szCs w:val="24"/>
        </w:rPr>
        <w:t>reciente origen</w:t>
      </w:r>
      <w:r>
        <w:rPr>
          <w:rFonts w:ascii="Arial" w:hAnsi="Arial" w:cs="Arial"/>
          <w:bCs/>
          <w:sz w:val="24"/>
          <w:szCs w:val="24"/>
        </w:rPr>
        <w:t xml:space="preserve">, </w:t>
      </w:r>
      <w:r w:rsidR="006F41F6">
        <w:rPr>
          <w:rFonts w:ascii="Arial" w:hAnsi="Arial" w:cs="Arial"/>
          <w:bCs/>
          <w:sz w:val="24"/>
          <w:szCs w:val="24"/>
        </w:rPr>
        <w:t xml:space="preserve">máxime que </w:t>
      </w:r>
      <w:r>
        <w:rPr>
          <w:rFonts w:ascii="Arial" w:hAnsi="Arial" w:cs="Arial"/>
          <w:bCs/>
          <w:sz w:val="24"/>
          <w:szCs w:val="24"/>
        </w:rPr>
        <w:t>es un hecho notorio que participó en la elección de ayuntamientos del proceso electoral 2018-2019 y obtuvo el 3.74% de votación.</w:t>
      </w:r>
    </w:p>
    <w:p w14:paraId="756B848D" w14:textId="0430D5ED" w:rsidR="006C54A0" w:rsidRDefault="006C54A0" w:rsidP="00B45312">
      <w:pPr>
        <w:pBdr>
          <w:top w:val="nil"/>
          <w:left w:val="nil"/>
          <w:bottom w:val="nil"/>
          <w:right w:val="nil"/>
          <w:between w:val="nil"/>
        </w:pBdr>
        <w:tabs>
          <w:tab w:val="left" w:pos="0"/>
        </w:tabs>
        <w:spacing w:after="0" w:line="360" w:lineRule="auto"/>
        <w:jc w:val="both"/>
        <w:rPr>
          <w:rFonts w:ascii="Arial" w:hAnsi="Arial" w:cs="Arial"/>
          <w:bCs/>
          <w:sz w:val="24"/>
          <w:szCs w:val="24"/>
        </w:rPr>
      </w:pPr>
    </w:p>
    <w:p w14:paraId="608BA682" w14:textId="617D696C" w:rsidR="006C54A0" w:rsidRDefault="006C54A0" w:rsidP="00B45312">
      <w:pPr>
        <w:pBdr>
          <w:top w:val="nil"/>
          <w:left w:val="nil"/>
          <w:bottom w:val="nil"/>
          <w:right w:val="nil"/>
          <w:between w:val="nil"/>
        </w:pBdr>
        <w:tabs>
          <w:tab w:val="left" w:pos="0"/>
        </w:tabs>
        <w:spacing w:after="0" w:line="360" w:lineRule="auto"/>
        <w:jc w:val="both"/>
        <w:rPr>
          <w:rFonts w:ascii="Arial" w:hAnsi="Arial" w:cs="Arial"/>
          <w:bCs/>
          <w:sz w:val="24"/>
          <w:szCs w:val="24"/>
        </w:rPr>
      </w:pPr>
      <w:r>
        <w:rPr>
          <w:rFonts w:ascii="Arial" w:hAnsi="Arial" w:cs="Arial"/>
          <w:bCs/>
          <w:sz w:val="24"/>
          <w:szCs w:val="24"/>
        </w:rPr>
        <w:t xml:space="preserve">d) En </w:t>
      </w:r>
      <w:r w:rsidR="003A0F88">
        <w:rPr>
          <w:rFonts w:ascii="Arial" w:hAnsi="Arial" w:cs="Arial"/>
          <w:bCs/>
          <w:sz w:val="24"/>
          <w:szCs w:val="24"/>
        </w:rPr>
        <w:t xml:space="preserve">el </w:t>
      </w:r>
      <w:r>
        <w:rPr>
          <w:rFonts w:ascii="Arial" w:hAnsi="Arial" w:cs="Arial"/>
          <w:bCs/>
          <w:sz w:val="24"/>
          <w:szCs w:val="24"/>
        </w:rPr>
        <w:t>agravio</w:t>
      </w:r>
      <w:r w:rsidR="003A0F88">
        <w:rPr>
          <w:rFonts w:ascii="Arial" w:hAnsi="Arial" w:cs="Arial"/>
          <w:bCs/>
          <w:sz w:val="24"/>
          <w:szCs w:val="24"/>
        </w:rPr>
        <w:t xml:space="preserve"> SEGUNDO, de manera literal la recurrente refiere: </w:t>
      </w:r>
      <w:r w:rsidR="003A0F88" w:rsidRPr="001A46D4">
        <w:rPr>
          <w:rFonts w:ascii="Arial" w:hAnsi="Arial" w:cs="Arial"/>
          <w:bCs/>
          <w:i/>
          <w:iCs/>
          <w:sz w:val="24"/>
          <w:szCs w:val="24"/>
        </w:rPr>
        <w:t>“De igual forma causa agravio al partido que represento en el que se viola en su perjuicio el acuerdo en comento y que sustenten la motivación de los actos de dicho acuerdo en que se adolece. Si el partido político que represento impugnó el acuerdo ante el I.E.E. en Aguascalientes, este hecho que puede ser determinante para el Tribunal Electoral del Estado de Aguascalientes.”</w:t>
      </w:r>
    </w:p>
    <w:p w14:paraId="234246CD" w14:textId="40A2F5E6" w:rsidR="003A0F88" w:rsidRDefault="003A0F88" w:rsidP="00B45312">
      <w:pPr>
        <w:pBdr>
          <w:top w:val="nil"/>
          <w:left w:val="nil"/>
          <w:bottom w:val="nil"/>
          <w:right w:val="nil"/>
          <w:between w:val="nil"/>
        </w:pBdr>
        <w:tabs>
          <w:tab w:val="left" w:pos="0"/>
        </w:tabs>
        <w:spacing w:after="0" w:line="360" w:lineRule="auto"/>
        <w:jc w:val="both"/>
        <w:rPr>
          <w:rFonts w:ascii="Arial" w:hAnsi="Arial" w:cs="Arial"/>
          <w:bCs/>
          <w:sz w:val="24"/>
          <w:szCs w:val="24"/>
        </w:rPr>
      </w:pPr>
    </w:p>
    <w:p w14:paraId="46C040B6" w14:textId="58AEAC28" w:rsidR="003A0F88" w:rsidRDefault="003A0F88" w:rsidP="00B45312">
      <w:pPr>
        <w:pBdr>
          <w:top w:val="nil"/>
          <w:left w:val="nil"/>
          <w:bottom w:val="nil"/>
          <w:right w:val="nil"/>
          <w:between w:val="nil"/>
        </w:pBdr>
        <w:tabs>
          <w:tab w:val="left" w:pos="0"/>
        </w:tabs>
        <w:spacing w:after="0" w:line="360" w:lineRule="auto"/>
        <w:jc w:val="both"/>
        <w:rPr>
          <w:rFonts w:ascii="Arial" w:hAnsi="Arial" w:cs="Arial"/>
          <w:bCs/>
          <w:sz w:val="24"/>
          <w:szCs w:val="24"/>
        </w:rPr>
      </w:pPr>
      <w:r>
        <w:rPr>
          <w:rFonts w:ascii="Arial" w:hAnsi="Arial" w:cs="Arial"/>
          <w:bCs/>
          <w:sz w:val="24"/>
          <w:szCs w:val="24"/>
        </w:rPr>
        <w:t xml:space="preserve">e) Finalmente, en el agravio TERCERO, la actora textualmente estableció: </w:t>
      </w:r>
      <w:r w:rsidRPr="001A46D4">
        <w:rPr>
          <w:rFonts w:ascii="Arial" w:hAnsi="Arial" w:cs="Arial"/>
          <w:bCs/>
          <w:i/>
          <w:iCs/>
          <w:sz w:val="24"/>
          <w:szCs w:val="24"/>
        </w:rPr>
        <w:t>“Me causa agravio el acuerdo que emitió el I.E.E. en Aguascalientes, la cual afecta, al partido es por lo que se interpone el Recurso de Apelación y sirva de sustento a lo mencionado con anterioridad las siguientes: PRUEBAS”</w:t>
      </w:r>
      <w:r w:rsidR="001A46D4">
        <w:rPr>
          <w:rFonts w:ascii="Arial" w:hAnsi="Arial" w:cs="Arial"/>
          <w:bCs/>
          <w:i/>
          <w:iCs/>
          <w:sz w:val="24"/>
          <w:szCs w:val="24"/>
        </w:rPr>
        <w:t>.</w:t>
      </w:r>
    </w:p>
    <w:p w14:paraId="64CC116F" w14:textId="03C5B4EE" w:rsidR="00056383" w:rsidRPr="00056383" w:rsidRDefault="00056383" w:rsidP="00B45312">
      <w:pPr>
        <w:pStyle w:val="NormalWeb"/>
        <w:tabs>
          <w:tab w:val="center" w:pos="0"/>
        </w:tabs>
        <w:spacing w:before="0" w:beforeAutospacing="0" w:after="0" w:afterAutospacing="0" w:line="360" w:lineRule="auto"/>
        <w:contextualSpacing/>
        <w:mirrorIndents/>
        <w:jc w:val="both"/>
        <w:rPr>
          <w:rFonts w:ascii="Arial" w:hAnsi="Arial" w:cs="Arial"/>
        </w:rPr>
      </w:pPr>
    </w:p>
    <w:p w14:paraId="52BACDA0" w14:textId="3D7904D9" w:rsidR="00056383" w:rsidRPr="00056383" w:rsidRDefault="00056383" w:rsidP="00B45312">
      <w:pPr>
        <w:pStyle w:val="NormalWeb"/>
        <w:tabs>
          <w:tab w:val="center" w:pos="0"/>
        </w:tabs>
        <w:spacing w:before="0" w:beforeAutospacing="0" w:after="0" w:afterAutospacing="0" w:line="360" w:lineRule="auto"/>
        <w:contextualSpacing/>
        <w:mirrorIndents/>
        <w:jc w:val="both"/>
        <w:rPr>
          <w:rFonts w:ascii="Arial" w:hAnsi="Arial" w:cs="Arial"/>
          <w:b/>
          <w:bCs/>
        </w:rPr>
      </w:pPr>
      <w:r w:rsidRPr="00056383">
        <w:rPr>
          <w:rFonts w:ascii="Arial" w:hAnsi="Arial" w:cs="Arial"/>
          <w:b/>
          <w:bCs/>
        </w:rPr>
        <w:t xml:space="preserve">Manifestaciones del tercero interesado </w:t>
      </w:r>
    </w:p>
    <w:p w14:paraId="1F21DB33" w14:textId="77777777" w:rsidR="00056383" w:rsidRDefault="00056383" w:rsidP="00B45312">
      <w:pPr>
        <w:pBdr>
          <w:top w:val="nil"/>
          <w:left w:val="nil"/>
          <w:bottom w:val="nil"/>
          <w:right w:val="nil"/>
          <w:between w:val="nil"/>
        </w:pBdr>
        <w:tabs>
          <w:tab w:val="left" w:pos="0"/>
        </w:tabs>
        <w:spacing w:after="0" w:line="360" w:lineRule="auto"/>
        <w:jc w:val="both"/>
        <w:rPr>
          <w:rFonts w:ascii="Arial" w:hAnsi="Arial" w:cs="Arial"/>
          <w:sz w:val="24"/>
          <w:szCs w:val="24"/>
        </w:rPr>
      </w:pPr>
    </w:p>
    <w:p w14:paraId="0C55F1C6" w14:textId="3C916293" w:rsidR="003A0F88" w:rsidRPr="00056383" w:rsidRDefault="00056383" w:rsidP="00B45312">
      <w:pPr>
        <w:pBdr>
          <w:top w:val="nil"/>
          <w:left w:val="nil"/>
          <w:bottom w:val="nil"/>
          <w:right w:val="nil"/>
          <w:between w:val="nil"/>
        </w:pBdr>
        <w:tabs>
          <w:tab w:val="left" w:pos="0"/>
        </w:tabs>
        <w:spacing w:after="0" w:line="360" w:lineRule="auto"/>
        <w:jc w:val="both"/>
        <w:rPr>
          <w:rFonts w:ascii="Arial" w:hAnsi="Arial" w:cs="Arial"/>
          <w:sz w:val="24"/>
          <w:szCs w:val="24"/>
        </w:rPr>
      </w:pPr>
      <w:r w:rsidRPr="00056383">
        <w:rPr>
          <w:rFonts w:ascii="Arial" w:hAnsi="Arial" w:cs="Arial"/>
          <w:sz w:val="24"/>
          <w:szCs w:val="24"/>
        </w:rPr>
        <w:t>El PVEM</w:t>
      </w:r>
      <w:r w:rsidR="00112029">
        <w:rPr>
          <w:rFonts w:ascii="Arial" w:hAnsi="Arial" w:cs="Arial"/>
          <w:sz w:val="24"/>
          <w:szCs w:val="24"/>
        </w:rPr>
        <w:t xml:space="preserve">, en su escrito de comparecencia al presente expediente, </w:t>
      </w:r>
      <w:r w:rsidRPr="00056383">
        <w:rPr>
          <w:rFonts w:ascii="Arial" w:hAnsi="Arial" w:cs="Arial"/>
          <w:sz w:val="24"/>
          <w:szCs w:val="24"/>
        </w:rPr>
        <w:t>manifiesta que, contrario a lo que l</w:t>
      </w:r>
      <w:r w:rsidR="00351046">
        <w:rPr>
          <w:rFonts w:ascii="Arial" w:hAnsi="Arial" w:cs="Arial"/>
          <w:sz w:val="24"/>
          <w:szCs w:val="24"/>
        </w:rPr>
        <w:t xml:space="preserve">a recurrente señala, </w:t>
      </w:r>
      <w:r w:rsidR="003A0F88">
        <w:rPr>
          <w:rFonts w:ascii="Arial" w:hAnsi="Arial" w:cs="Arial"/>
          <w:sz w:val="24"/>
          <w:szCs w:val="24"/>
        </w:rPr>
        <w:t>el acto ahora impugnado se dictó en estricto apego a la sentencia dictada por este Tribunal en el expediente TEEA-RAP-020/2019</w:t>
      </w:r>
      <w:r w:rsidR="006A5D2B">
        <w:rPr>
          <w:rFonts w:ascii="Arial" w:hAnsi="Arial" w:cs="Arial"/>
          <w:sz w:val="24"/>
          <w:szCs w:val="24"/>
        </w:rPr>
        <w:t xml:space="preserve"> y acumulados, la cual el partido recurrente no combatió.</w:t>
      </w:r>
    </w:p>
    <w:p w14:paraId="2D6E1F79" w14:textId="77777777" w:rsidR="00056383" w:rsidRDefault="00056383" w:rsidP="00B45312">
      <w:pPr>
        <w:pBdr>
          <w:top w:val="nil"/>
          <w:left w:val="nil"/>
          <w:bottom w:val="nil"/>
          <w:right w:val="nil"/>
          <w:between w:val="nil"/>
        </w:pBdr>
        <w:tabs>
          <w:tab w:val="left" w:pos="0"/>
        </w:tabs>
        <w:spacing w:after="0" w:line="360" w:lineRule="auto"/>
        <w:jc w:val="both"/>
        <w:rPr>
          <w:rFonts w:ascii="Arial" w:hAnsi="Arial" w:cs="Arial"/>
          <w:sz w:val="24"/>
          <w:szCs w:val="24"/>
        </w:rPr>
      </w:pPr>
    </w:p>
    <w:p w14:paraId="7FFAF0A5" w14:textId="584BAF39" w:rsidR="00056383" w:rsidRPr="00056383" w:rsidRDefault="0030290C" w:rsidP="00056383">
      <w:pPr>
        <w:pBdr>
          <w:top w:val="nil"/>
          <w:left w:val="nil"/>
          <w:bottom w:val="nil"/>
          <w:right w:val="nil"/>
          <w:between w:val="nil"/>
        </w:pBdr>
        <w:tabs>
          <w:tab w:val="left" w:pos="0"/>
        </w:tabs>
        <w:spacing w:after="0" w:line="360" w:lineRule="auto"/>
        <w:jc w:val="both"/>
        <w:rPr>
          <w:rFonts w:ascii="Arial" w:hAnsi="Arial" w:cs="Arial"/>
          <w:sz w:val="24"/>
          <w:szCs w:val="24"/>
        </w:rPr>
      </w:pPr>
      <w:r>
        <w:rPr>
          <w:rFonts w:ascii="Arial" w:hAnsi="Arial" w:cs="Arial"/>
          <w:sz w:val="24"/>
          <w:szCs w:val="24"/>
        </w:rPr>
        <w:t>Aduce que la recurrente</w:t>
      </w:r>
      <w:r w:rsidR="00112029">
        <w:rPr>
          <w:rFonts w:ascii="Arial" w:hAnsi="Arial" w:cs="Arial"/>
          <w:sz w:val="24"/>
          <w:szCs w:val="24"/>
        </w:rPr>
        <w:t>,</w:t>
      </w:r>
      <w:r>
        <w:rPr>
          <w:rFonts w:ascii="Arial" w:hAnsi="Arial" w:cs="Arial"/>
          <w:sz w:val="24"/>
          <w:szCs w:val="24"/>
        </w:rPr>
        <w:t xml:space="preserve"> no argumenta qu</w:t>
      </w:r>
      <w:r w:rsidR="00534A9A">
        <w:rPr>
          <w:rFonts w:ascii="Arial" w:hAnsi="Arial" w:cs="Arial"/>
          <w:sz w:val="24"/>
          <w:szCs w:val="24"/>
        </w:rPr>
        <w:t>é</w:t>
      </w:r>
      <w:r>
        <w:rPr>
          <w:rFonts w:ascii="Arial" w:hAnsi="Arial" w:cs="Arial"/>
          <w:sz w:val="24"/>
          <w:szCs w:val="24"/>
        </w:rPr>
        <w:t xml:space="preserve"> parte de la resolución que combate le afecta</w:t>
      </w:r>
      <w:r w:rsidR="00112029">
        <w:rPr>
          <w:rFonts w:ascii="Arial" w:hAnsi="Arial" w:cs="Arial"/>
          <w:sz w:val="24"/>
          <w:szCs w:val="24"/>
        </w:rPr>
        <w:t>,</w:t>
      </w:r>
      <w:r>
        <w:rPr>
          <w:rFonts w:ascii="Arial" w:hAnsi="Arial" w:cs="Arial"/>
          <w:sz w:val="24"/>
          <w:szCs w:val="24"/>
        </w:rPr>
        <w:t xml:space="preserve"> ni señala la base de su impugnación, lo que resulta necesario para atender el </w:t>
      </w:r>
      <w:r>
        <w:rPr>
          <w:rFonts w:ascii="Arial" w:hAnsi="Arial" w:cs="Arial"/>
          <w:sz w:val="24"/>
          <w:szCs w:val="24"/>
        </w:rPr>
        <w:lastRenderedPageBreak/>
        <w:t>medio de impugnación promovido, pues al tratarse de un recurso de apelación, no opera la suplencia de la queja.</w:t>
      </w:r>
    </w:p>
    <w:p w14:paraId="0ED77134" w14:textId="77777777" w:rsidR="00056383" w:rsidRPr="00056383" w:rsidRDefault="00056383" w:rsidP="00056383">
      <w:pPr>
        <w:pStyle w:val="NormalWeb"/>
        <w:tabs>
          <w:tab w:val="center" w:pos="0"/>
        </w:tabs>
        <w:spacing w:before="0" w:beforeAutospacing="0" w:after="0" w:afterAutospacing="0" w:line="360" w:lineRule="auto"/>
        <w:contextualSpacing/>
        <w:mirrorIndents/>
        <w:jc w:val="both"/>
        <w:rPr>
          <w:rFonts w:ascii="Arial" w:hAnsi="Arial" w:cs="Arial"/>
        </w:rPr>
      </w:pPr>
    </w:p>
    <w:p w14:paraId="5DCB6C95" w14:textId="5C653AD8" w:rsidR="006902F9" w:rsidRDefault="00056383" w:rsidP="006902F9">
      <w:pPr>
        <w:pStyle w:val="NormalWeb"/>
        <w:tabs>
          <w:tab w:val="right" w:pos="0"/>
        </w:tabs>
        <w:spacing w:before="0" w:beforeAutospacing="0" w:after="0" w:afterAutospacing="0" w:line="360" w:lineRule="auto"/>
        <w:contextualSpacing/>
        <w:mirrorIndents/>
        <w:jc w:val="both"/>
        <w:rPr>
          <w:rFonts w:ascii="Arial" w:hAnsi="Arial" w:cs="Arial"/>
        </w:rPr>
      </w:pPr>
      <w:r>
        <w:rPr>
          <w:rFonts w:ascii="Arial" w:hAnsi="Arial" w:cs="Arial"/>
          <w:b/>
        </w:rPr>
        <w:t xml:space="preserve">QUINTO. </w:t>
      </w:r>
      <w:r w:rsidR="00B224E5" w:rsidRPr="006E30FA">
        <w:rPr>
          <w:rFonts w:ascii="Arial" w:hAnsi="Arial" w:cs="Arial"/>
          <w:b/>
        </w:rPr>
        <w:t xml:space="preserve">FIJACIÓN DE LA LITIS. </w:t>
      </w:r>
      <w:r w:rsidR="004F61F5">
        <w:rPr>
          <w:rFonts w:ascii="Arial" w:hAnsi="Arial" w:cs="Arial"/>
        </w:rPr>
        <w:t>S</w:t>
      </w:r>
      <w:r w:rsidR="00E277C7" w:rsidRPr="006E30FA">
        <w:rPr>
          <w:rFonts w:ascii="Arial" w:hAnsi="Arial" w:cs="Arial"/>
        </w:rPr>
        <w:t xml:space="preserve">e centra en </w:t>
      </w:r>
      <w:r w:rsidR="006902F9">
        <w:rPr>
          <w:rFonts w:ascii="Arial" w:hAnsi="Arial" w:cs="Arial"/>
        </w:rPr>
        <w:t xml:space="preserve">responder las siguientes interrogantes: </w:t>
      </w:r>
    </w:p>
    <w:p w14:paraId="1AB8B720" w14:textId="77777777" w:rsidR="006902F9" w:rsidRDefault="006902F9" w:rsidP="006902F9">
      <w:pPr>
        <w:pStyle w:val="NormalWeb"/>
        <w:tabs>
          <w:tab w:val="right" w:pos="0"/>
        </w:tabs>
        <w:spacing w:before="0" w:beforeAutospacing="0" w:after="0" w:afterAutospacing="0" w:line="360" w:lineRule="auto"/>
        <w:contextualSpacing/>
        <w:mirrorIndents/>
        <w:jc w:val="both"/>
        <w:rPr>
          <w:rFonts w:ascii="Arial" w:hAnsi="Arial" w:cs="Arial"/>
        </w:rPr>
      </w:pPr>
    </w:p>
    <w:p w14:paraId="600A3B24" w14:textId="649628B4" w:rsidR="006902F9" w:rsidRDefault="006902F9" w:rsidP="006902F9">
      <w:pPr>
        <w:pStyle w:val="NormalWeb"/>
        <w:tabs>
          <w:tab w:val="right" w:pos="0"/>
        </w:tabs>
        <w:spacing w:before="0" w:beforeAutospacing="0" w:after="0" w:afterAutospacing="0" w:line="360" w:lineRule="auto"/>
        <w:contextualSpacing/>
        <w:mirrorIndents/>
        <w:jc w:val="both"/>
        <w:rPr>
          <w:rFonts w:ascii="Arial" w:hAnsi="Arial" w:cs="Arial"/>
        </w:rPr>
      </w:pPr>
      <w:r>
        <w:rPr>
          <w:rFonts w:ascii="Arial" w:hAnsi="Arial" w:cs="Arial"/>
        </w:rPr>
        <w:t xml:space="preserve">En el acuerdo impugnado, ¿el CG indebidamente </w:t>
      </w:r>
      <w:r w:rsidR="004F61F5">
        <w:rPr>
          <w:rFonts w:ascii="Arial" w:hAnsi="Arial" w:cs="Arial"/>
        </w:rPr>
        <w:t xml:space="preserve">consideró </w:t>
      </w:r>
      <w:r>
        <w:rPr>
          <w:rFonts w:ascii="Arial" w:hAnsi="Arial" w:cs="Arial"/>
        </w:rPr>
        <w:t xml:space="preserve">al PLA como </w:t>
      </w:r>
      <w:r w:rsidR="004F61F5">
        <w:rPr>
          <w:rFonts w:ascii="Arial" w:hAnsi="Arial" w:cs="Arial"/>
        </w:rPr>
        <w:t xml:space="preserve">partido de nueva creación </w:t>
      </w:r>
      <w:r>
        <w:rPr>
          <w:rFonts w:ascii="Arial" w:hAnsi="Arial" w:cs="Arial"/>
        </w:rPr>
        <w:t>para la distribución del financiamiento público local para el año dos mil veinte?</w:t>
      </w:r>
    </w:p>
    <w:p w14:paraId="2F5142FC" w14:textId="5B837AE9" w:rsidR="006902F9" w:rsidRDefault="006902F9" w:rsidP="006902F9">
      <w:pPr>
        <w:pStyle w:val="NormalWeb"/>
        <w:tabs>
          <w:tab w:val="right" w:pos="0"/>
        </w:tabs>
        <w:spacing w:before="0" w:beforeAutospacing="0" w:after="0" w:afterAutospacing="0" w:line="360" w:lineRule="auto"/>
        <w:contextualSpacing/>
        <w:mirrorIndents/>
        <w:jc w:val="both"/>
        <w:rPr>
          <w:rFonts w:ascii="Arial" w:hAnsi="Arial" w:cs="Arial"/>
        </w:rPr>
      </w:pPr>
    </w:p>
    <w:p w14:paraId="0A97F3F9" w14:textId="6EB16508" w:rsidR="006902F9" w:rsidRPr="006E30FA" w:rsidRDefault="006902F9" w:rsidP="006902F9">
      <w:pPr>
        <w:pStyle w:val="NormalWeb"/>
        <w:tabs>
          <w:tab w:val="right" w:pos="0"/>
        </w:tabs>
        <w:spacing w:before="0" w:beforeAutospacing="0" w:after="0" w:afterAutospacing="0" w:line="360" w:lineRule="auto"/>
        <w:contextualSpacing/>
        <w:mirrorIndents/>
        <w:jc w:val="both"/>
        <w:rPr>
          <w:rFonts w:ascii="Arial" w:hAnsi="Arial" w:cs="Arial"/>
        </w:rPr>
      </w:pPr>
      <w:r>
        <w:rPr>
          <w:rFonts w:ascii="Arial" w:hAnsi="Arial" w:cs="Arial"/>
        </w:rPr>
        <w:t xml:space="preserve">En tal supuesto, ¿el CG debió </w:t>
      </w:r>
      <w:r w:rsidR="001A46D4">
        <w:rPr>
          <w:rFonts w:ascii="Arial" w:hAnsi="Arial" w:cs="Arial"/>
        </w:rPr>
        <w:t xml:space="preserve">recabar </w:t>
      </w:r>
      <w:r>
        <w:rPr>
          <w:rFonts w:ascii="Arial" w:hAnsi="Arial" w:cs="Arial"/>
        </w:rPr>
        <w:t>pruebas para acreditar que se trataba de un partido de nueva creación y darle la oportunidad al PLA, a su vez, de acreditar que ello no era cierto?</w:t>
      </w:r>
    </w:p>
    <w:p w14:paraId="0C574252" w14:textId="77777777" w:rsidR="006902F9" w:rsidRDefault="006902F9" w:rsidP="006902F9">
      <w:pPr>
        <w:pStyle w:val="NormalWeb"/>
        <w:tabs>
          <w:tab w:val="right" w:pos="0"/>
        </w:tabs>
        <w:spacing w:before="0" w:beforeAutospacing="0" w:after="0" w:afterAutospacing="0" w:line="360" w:lineRule="auto"/>
        <w:contextualSpacing/>
        <w:mirrorIndents/>
        <w:jc w:val="both"/>
        <w:rPr>
          <w:rFonts w:ascii="Arial" w:hAnsi="Arial" w:cs="Arial"/>
        </w:rPr>
      </w:pPr>
    </w:p>
    <w:p w14:paraId="5E0F33C7" w14:textId="51C35350" w:rsidR="006902F9" w:rsidRDefault="006902F9" w:rsidP="006902F9">
      <w:pPr>
        <w:pStyle w:val="NormalWeb"/>
        <w:tabs>
          <w:tab w:val="right" w:pos="0"/>
        </w:tabs>
        <w:spacing w:before="0" w:beforeAutospacing="0" w:after="0" w:afterAutospacing="0" w:line="360" w:lineRule="auto"/>
        <w:contextualSpacing/>
        <w:mirrorIndents/>
        <w:jc w:val="both"/>
        <w:rPr>
          <w:rFonts w:ascii="Arial" w:hAnsi="Arial" w:cs="Arial"/>
        </w:rPr>
      </w:pPr>
      <w:r>
        <w:rPr>
          <w:rFonts w:ascii="Arial" w:hAnsi="Arial" w:cs="Arial"/>
        </w:rPr>
        <w:t>¿El CG debió considerar el porcentaje de votación que obtuvo el PLA en la elección de ayuntamientos del dos de junio para la distribución de las prerrogativas?</w:t>
      </w:r>
    </w:p>
    <w:p w14:paraId="2336C40B" w14:textId="77777777" w:rsidR="006902F9" w:rsidRDefault="006902F9" w:rsidP="006902F9">
      <w:pPr>
        <w:pStyle w:val="NormalWeb"/>
        <w:tabs>
          <w:tab w:val="right" w:pos="0"/>
        </w:tabs>
        <w:spacing w:before="0" w:beforeAutospacing="0" w:after="0" w:afterAutospacing="0" w:line="360" w:lineRule="auto"/>
        <w:contextualSpacing/>
        <w:mirrorIndents/>
        <w:jc w:val="both"/>
        <w:rPr>
          <w:rFonts w:ascii="Arial" w:hAnsi="Arial" w:cs="Arial"/>
        </w:rPr>
      </w:pPr>
    </w:p>
    <w:p w14:paraId="22AD1BA6" w14:textId="7A25664A" w:rsidR="00E34C26" w:rsidRDefault="002219EC" w:rsidP="002219EC">
      <w:pPr>
        <w:pStyle w:val="NormalWeb"/>
        <w:tabs>
          <w:tab w:val="right" w:pos="0"/>
        </w:tabs>
        <w:spacing w:before="0" w:beforeAutospacing="0" w:after="0" w:afterAutospacing="0" w:line="360" w:lineRule="auto"/>
        <w:contextualSpacing/>
        <w:mirrorIndents/>
        <w:jc w:val="both"/>
        <w:rPr>
          <w:rFonts w:ascii="Arial" w:hAnsi="Arial" w:cs="Arial"/>
          <w:bCs/>
        </w:rPr>
      </w:pPr>
      <w:r>
        <w:rPr>
          <w:rFonts w:ascii="Arial" w:hAnsi="Arial" w:cs="Arial"/>
          <w:b/>
        </w:rPr>
        <w:t>SEXTO. CUESTIÓN PREVIA.</w:t>
      </w:r>
      <w:r w:rsidR="00193CE6">
        <w:rPr>
          <w:rFonts w:ascii="Arial" w:hAnsi="Arial" w:cs="Arial"/>
          <w:b/>
        </w:rPr>
        <w:t xml:space="preserve"> </w:t>
      </w:r>
      <w:r w:rsidR="00193CE6">
        <w:rPr>
          <w:rFonts w:ascii="Arial" w:hAnsi="Arial" w:cs="Arial"/>
          <w:bCs/>
        </w:rPr>
        <w:t xml:space="preserve">Como se refiere en la demanda y en los antecedentes del presente fallo, el </w:t>
      </w:r>
      <w:r w:rsidR="00A67AB1">
        <w:rPr>
          <w:rFonts w:ascii="Arial" w:hAnsi="Arial" w:cs="Arial"/>
          <w:bCs/>
        </w:rPr>
        <w:t xml:space="preserve">acuerdo </w:t>
      </w:r>
      <w:r w:rsidR="00A67AB1" w:rsidRPr="00A67AB1">
        <w:rPr>
          <w:rFonts w:ascii="Arial" w:hAnsi="Arial" w:cs="Arial"/>
          <w:b/>
        </w:rPr>
        <w:t>CG-A-53/19</w:t>
      </w:r>
      <w:r w:rsidR="00A67AB1">
        <w:rPr>
          <w:rFonts w:ascii="Arial" w:hAnsi="Arial" w:cs="Arial"/>
          <w:bCs/>
        </w:rPr>
        <w:t xml:space="preserve"> aquí </w:t>
      </w:r>
      <w:r w:rsidR="00193CE6">
        <w:rPr>
          <w:rFonts w:ascii="Arial" w:hAnsi="Arial" w:cs="Arial"/>
          <w:bCs/>
        </w:rPr>
        <w:t>impugnado</w:t>
      </w:r>
      <w:r w:rsidR="00A67AB1">
        <w:rPr>
          <w:rFonts w:ascii="Arial" w:hAnsi="Arial" w:cs="Arial"/>
          <w:bCs/>
        </w:rPr>
        <w:t>,</w:t>
      </w:r>
      <w:r w:rsidR="00193CE6">
        <w:rPr>
          <w:rFonts w:ascii="Arial" w:hAnsi="Arial" w:cs="Arial"/>
          <w:bCs/>
        </w:rPr>
        <w:t xml:space="preserve"> se dictó en cumplimiento a la sentencia dictada por este </w:t>
      </w:r>
      <w:r w:rsidR="00E34C26">
        <w:rPr>
          <w:rFonts w:ascii="Arial" w:hAnsi="Arial" w:cs="Arial"/>
          <w:bCs/>
        </w:rPr>
        <w:t xml:space="preserve">órgano jurisdiccional </w:t>
      </w:r>
      <w:r w:rsidR="00193CE6">
        <w:rPr>
          <w:rFonts w:ascii="Arial" w:hAnsi="Arial" w:cs="Arial"/>
          <w:bCs/>
        </w:rPr>
        <w:t>en el expediente TEEA-RAP-020/2019</w:t>
      </w:r>
      <w:r w:rsidR="00A67AB1">
        <w:rPr>
          <w:rFonts w:ascii="Arial" w:hAnsi="Arial" w:cs="Arial"/>
          <w:bCs/>
        </w:rPr>
        <w:t xml:space="preserve"> y acumulados</w:t>
      </w:r>
      <w:r w:rsidR="005C359E">
        <w:rPr>
          <w:rFonts w:ascii="Arial" w:hAnsi="Arial" w:cs="Arial"/>
          <w:bCs/>
        </w:rPr>
        <w:t xml:space="preserve">, </w:t>
      </w:r>
      <w:r w:rsidR="006902F9">
        <w:rPr>
          <w:rFonts w:ascii="Arial" w:hAnsi="Arial" w:cs="Arial"/>
          <w:bCs/>
        </w:rPr>
        <w:t>la</w:t>
      </w:r>
      <w:r w:rsidR="00A67AB1">
        <w:rPr>
          <w:rFonts w:ascii="Arial" w:hAnsi="Arial" w:cs="Arial"/>
          <w:bCs/>
        </w:rPr>
        <w:t xml:space="preserve"> cual </w:t>
      </w:r>
      <w:r w:rsidR="005C359E">
        <w:rPr>
          <w:rFonts w:ascii="Arial" w:hAnsi="Arial" w:cs="Arial"/>
          <w:bCs/>
        </w:rPr>
        <w:t>adquirió firmeza al haber sido confirmada por la Sala Regional Monterrey</w:t>
      </w:r>
      <w:r w:rsidR="00A67AB1">
        <w:rPr>
          <w:rFonts w:ascii="Arial" w:hAnsi="Arial" w:cs="Arial"/>
          <w:bCs/>
        </w:rPr>
        <w:t xml:space="preserve"> al resolver </w:t>
      </w:r>
      <w:r w:rsidR="00A67AB1" w:rsidRPr="00835A02">
        <w:rPr>
          <w:rFonts w:ascii="Arial" w:hAnsi="Arial" w:cs="Arial"/>
          <w:bCs/>
        </w:rPr>
        <w:t xml:space="preserve">los juicios </w:t>
      </w:r>
      <w:r w:rsidR="00835A02" w:rsidRPr="00835A02">
        <w:rPr>
          <w:rFonts w:ascii="Arial" w:hAnsi="Arial" w:cs="Arial"/>
          <w:bCs/>
        </w:rPr>
        <w:t>de revisión constitucional SM-JRC-069/2019 y SM-JRC-070/2019</w:t>
      </w:r>
      <w:r w:rsidR="006902F9">
        <w:rPr>
          <w:rFonts w:ascii="Arial" w:hAnsi="Arial" w:cs="Arial"/>
          <w:bCs/>
        </w:rPr>
        <w:t>, y, por tanto, se trata de cosa juzgada.</w:t>
      </w:r>
    </w:p>
    <w:p w14:paraId="382E9C50" w14:textId="77777777" w:rsidR="00E34C26" w:rsidRDefault="00E34C26" w:rsidP="002219EC">
      <w:pPr>
        <w:pStyle w:val="NormalWeb"/>
        <w:tabs>
          <w:tab w:val="right" w:pos="0"/>
        </w:tabs>
        <w:spacing w:before="0" w:beforeAutospacing="0" w:after="0" w:afterAutospacing="0" w:line="360" w:lineRule="auto"/>
        <w:contextualSpacing/>
        <w:mirrorIndents/>
        <w:jc w:val="both"/>
        <w:rPr>
          <w:rFonts w:ascii="Arial" w:hAnsi="Arial" w:cs="Arial"/>
          <w:bCs/>
        </w:rPr>
      </w:pPr>
    </w:p>
    <w:p w14:paraId="0EDEFFAC" w14:textId="2BB4A494" w:rsidR="002F5E72" w:rsidRPr="004948A5" w:rsidRDefault="002F5E72" w:rsidP="002F5E72">
      <w:pPr>
        <w:tabs>
          <w:tab w:val="left" w:pos="284"/>
        </w:tabs>
        <w:spacing w:after="0" w:line="360" w:lineRule="auto"/>
        <w:jc w:val="both"/>
        <w:rPr>
          <w:rFonts w:ascii="Arial Nova" w:hAnsi="Arial Nova" w:cs="Arial"/>
          <w:bCs/>
          <w:sz w:val="24"/>
          <w:szCs w:val="24"/>
        </w:rPr>
      </w:pPr>
      <w:r>
        <w:rPr>
          <w:rFonts w:ascii="Arial Nova" w:hAnsi="Arial Nova" w:cs="Arial"/>
          <w:bCs/>
          <w:sz w:val="24"/>
          <w:szCs w:val="24"/>
        </w:rPr>
        <w:t xml:space="preserve">Lo anterior, de conformidad con </w:t>
      </w:r>
      <w:r w:rsidRPr="004948A5">
        <w:rPr>
          <w:rFonts w:ascii="Arial Nova" w:hAnsi="Arial Nova" w:cs="Arial"/>
          <w:bCs/>
          <w:sz w:val="24"/>
          <w:szCs w:val="24"/>
        </w:rPr>
        <w:t xml:space="preserve">la </w:t>
      </w:r>
      <w:r>
        <w:rPr>
          <w:rFonts w:ascii="Arial Nova" w:hAnsi="Arial Nova" w:cs="Arial"/>
          <w:bCs/>
          <w:sz w:val="24"/>
          <w:szCs w:val="24"/>
        </w:rPr>
        <w:t>j</w:t>
      </w:r>
      <w:r w:rsidRPr="004948A5">
        <w:rPr>
          <w:rFonts w:ascii="Arial Nova" w:hAnsi="Arial Nova" w:cs="Arial"/>
          <w:bCs/>
          <w:sz w:val="24"/>
          <w:szCs w:val="24"/>
        </w:rPr>
        <w:t xml:space="preserve">urisprudencia 19/2004, </w:t>
      </w:r>
      <w:r>
        <w:rPr>
          <w:rFonts w:ascii="Arial Nova" w:hAnsi="Arial Nova" w:cs="Arial"/>
          <w:bCs/>
          <w:sz w:val="24"/>
          <w:szCs w:val="24"/>
        </w:rPr>
        <w:t>del TEPJF, de rubro: “</w:t>
      </w:r>
      <w:r w:rsidRPr="002F5E72">
        <w:rPr>
          <w:rFonts w:ascii="Arial" w:hAnsi="Arial" w:cs="Arial"/>
          <w:b/>
          <w:bCs/>
          <w:i/>
          <w:iCs/>
          <w:sz w:val="24"/>
          <w:szCs w:val="24"/>
        </w:rPr>
        <w:t>SENTENCIAS DEL TRIBUNAL ELECTORAL DEL PODER JUDICIAL DE LA FEDERACIÓN, SÓLO ÉSTE ESTÁ FACULTADO PARA DETERMINAR QUE SON INEJECUTABLES”</w:t>
      </w:r>
      <w:r>
        <w:rPr>
          <w:rStyle w:val="Refdenotaalpie"/>
          <w:rFonts w:ascii="Arial" w:hAnsi="Arial" w:cs="Arial"/>
          <w:b/>
          <w:bCs/>
          <w:i/>
          <w:iCs/>
          <w:sz w:val="24"/>
          <w:szCs w:val="24"/>
        </w:rPr>
        <w:footnoteReference w:id="2"/>
      </w:r>
      <w:r w:rsidRPr="002F5E72">
        <w:rPr>
          <w:rFonts w:ascii="Arial" w:hAnsi="Arial" w:cs="Arial"/>
          <w:sz w:val="24"/>
          <w:szCs w:val="24"/>
        </w:rPr>
        <w:t xml:space="preserve">; </w:t>
      </w:r>
      <w:r>
        <w:rPr>
          <w:rFonts w:ascii="Arial" w:hAnsi="Arial" w:cs="Arial"/>
          <w:sz w:val="24"/>
          <w:szCs w:val="24"/>
        </w:rPr>
        <w:t xml:space="preserve">en cuanto a las razones que contiene, </w:t>
      </w:r>
      <w:r w:rsidR="002A1E5E">
        <w:rPr>
          <w:rFonts w:ascii="Arial" w:hAnsi="Arial" w:cs="Arial"/>
          <w:sz w:val="24"/>
          <w:szCs w:val="24"/>
        </w:rPr>
        <w:t xml:space="preserve">ya </w:t>
      </w:r>
      <w:r>
        <w:rPr>
          <w:rFonts w:ascii="Arial" w:hAnsi="Arial" w:cs="Arial"/>
          <w:sz w:val="24"/>
          <w:szCs w:val="24"/>
        </w:rPr>
        <w:t xml:space="preserve">que </w:t>
      </w:r>
      <w:r w:rsidRPr="002F5E72">
        <w:rPr>
          <w:rFonts w:ascii="Arial" w:hAnsi="Arial" w:cs="Arial"/>
          <w:sz w:val="24"/>
          <w:szCs w:val="24"/>
        </w:rPr>
        <w:t>establece</w:t>
      </w:r>
      <w:r>
        <w:rPr>
          <w:rFonts w:ascii="Arial" w:hAnsi="Arial" w:cs="Arial"/>
          <w:sz w:val="24"/>
          <w:szCs w:val="24"/>
        </w:rPr>
        <w:t>n</w:t>
      </w:r>
      <w:r w:rsidRPr="002F5E72">
        <w:rPr>
          <w:rFonts w:ascii="Arial" w:hAnsi="Arial" w:cs="Arial"/>
          <w:sz w:val="24"/>
          <w:szCs w:val="24"/>
        </w:rPr>
        <w:t xml:space="preserve"> que </w:t>
      </w:r>
      <w:r>
        <w:t xml:space="preserve"> </w:t>
      </w:r>
      <w:r w:rsidRPr="004948A5">
        <w:rPr>
          <w:rFonts w:ascii="Arial Nova" w:hAnsi="Arial Nova" w:cs="Arial"/>
          <w:bCs/>
          <w:sz w:val="24"/>
          <w:szCs w:val="24"/>
        </w:rPr>
        <w:t>una vez emitido un fallo por un Tribunal Electoral, ninguna autoridad puede cuestionar su legalidad, a través de cualquier tipo de acto o resolución, aunque pretenda fundarse en su propia interpretación de las disposiciones de la Carta Magna o en el contenido de leyes secundarias</w:t>
      </w:r>
      <w:r>
        <w:rPr>
          <w:rFonts w:ascii="Arial Nova" w:hAnsi="Arial Nova" w:cs="Arial"/>
          <w:bCs/>
          <w:sz w:val="24"/>
          <w:szCs w:val="24"/>
        </w:rPr>
        <w:t>,</w:t>
      </w:r>
      <w:r w:rsidRPr="004948A5">
        <w:rPr>
          <w:rFonts w:ascii="Arial Nova" w:hAnsi="Arial Nova" w:cs="Arial"/>
          <w:bCs/>
          <w:sz w:val="24"/>
          <w:szCs w:val="24"/>
        </w:rPr>
        <w:t xml:space="preserve"> </w:t>
      </w:r>
      <w:r>
        <w:rPr>
          <w:rFonts w:ascii="Arial Nova" w:hAnsi="Arial Nova" w:cs="Arial"/>
          <w:bCs/>
          <w:sz w:val="24"/>
          <w:szCs w:val="24"/>
        </w:rPr>
        <w:t xml:space="preserve">porque </w:t>
      </w:r>
      <w:r w:rsidRPr="004948A5">
        <w:rPr>
          <w:rFonts w:ascii="Arial Nova" w:hAnsi="Arial Nova" w:cs="Arial"/>
          <w:bCs/>
          <w:sz w:val="24"/>
          <w:szCs w:val="24"/>
        </w:rPr>
        <w:t xml:space="preserve">al </w:t>
      </w:r>
      <w:r>
        <w:rPr>
          <w:rFonts w:ascii="Arial Nova" w:hAnsi="Arial Nova" w:cs="Arial"/>
          <w:bCs/>
          <w:sz w:val="24"/>
          <w:szCs w:val="24"/>
        </w:rPr>
        <w:t>tratarse de</w:t>
      </w:r>
      <w:r w:rsidRPr="004948A5">
        <w:rPr>
          <w:rFonts w:ascii="Arial Nova" w:hAnsi="Arial Nova" w:cs="Arial"/>
          <w:bCs/>
          <w:sz w:val="24"/>
          <w:szCs w:val="24"/>
        </w:rPr>
        <w:t xml:space="preserve"> cosa juzgada, constriñe a la</w:t>
      </w:r>
      <w:r>
        <w:rPr>
          <w:rFonts w:ascii="Arial Nova" w:hAnsi="Arial Nova" w:cs="Arial"/>
          <w:bCs/>
          <w:sz w:val="24"/>
          <w:szCs w:val="24"/>
        </w:rPr>
        <w:t xml:space="preserve">s </w:t>
      </w:r>
      <w:r w:rsidRPr="004948A5">
        <w:rPr>
          <w:rFonts w:ascii="Arial Nova" w:hAnsi="Arial Nova" w:cs="Arial"/>
          <w:bCs/>
          <w:sz w:val="24"/>
          <w:szCs w:val="24"/>
        </w:rPr>
        <w:t xml:space="preserve">autoridades electorales </w:t>
      </w:r>
      <w:r>
        <w:rPr>
          <w:rFonts w:ascii="Arial Nova" w:hAnsi="Arial Nova" w:cs="Arial"/>
          <w:bCs/>
          <w:sz w:val="24"/>
          <w:szCs w:val="24"/>
        </w:rPr>
        <w:t>y a todos aquellos sobre quienes tiene injerencia el acto controvertido que fue impugnado y confirmado por la Superioridad.</w:t>
      </w:r>
    </w:p>
    <w:p w14:paraId="3B4CDD9F" w14:textId="77777777" w:rsidR="002F5E72" w:rsidRDefault="002F5E72" w:rsidP="002219EC">
      <w:pPr>
        <w:pStyle w:val="NormalWeb"/>
        <w:tabs>
          <w:tab w:val="right" w:pos="0"/>
        </w:tabs>
        <w:spacing w:before="0" w:beforeAutospacing="0" w:after="0" w:afterAutospacing="0" w:line="360" w:lineRule="auto"/>
        <w:contextualSpacing/>
        <w:mirrorIndents/>
        <w:jc w:val="both"/>
        <w:rPr>
          <w:rFonts w:ascii="Arial" w:hAnsi="Arial" w:cs="Arial"/>
          <w:bCs/>
        </w:rPr>
      </w:pPr>
    </w:p>
    <w:p w14:paraId="37DD0E06" w14:textId="5AD19462" w:rsidR="002219EC" w:rsidRPr="00193CE6" w:rsidRDefault="002F5E72" w:rsidP="002F5E72">
      <w:pPr>
        <w:pStyle w:val="NormalWeb"/>
        <w:tabs>
          <w:tab w:val="right" w:pos="0"/>
        </w:tabs>
        <w:spacing w:before="0" w:beforeAutospacing="0" w:after="0" w:afterAutospacing="0" w:line="360" w:lineRule="auto"/>
        <w:contextualSpacing/>
        <w:mirrorIndents/>
        <w:jc w:val="both"/>
        <w:rPr>
          <w:rFonts w:ascii="Arial" w:hAnsi="Arial" w:cs="Arial"/>
          <w:bCs/>
        </w:rPr>
      </w:pPr>
      <w:r>
        <w:rPr>
          <w:rFonts w:ascii="Arial" w:hAnsi="Arial" w:cs="Arial"/>
          <w:bCs/>
        </w:rPr>
        <w:lastRenderedPageBreak/>
        <w:t>Por tanto</w:t>
      </w:r>
      <w:r w:rsidR="00E34C26">
        <w:rPr>
          <w:rFonts w:ascii="Arial" w:hAnsi="Arial" w:cs="Arial"/>
          <w:bCs/>
        </w:rPr>
        <w:t xml:space="preserve">, </w:t>
      </w:r>
      <w:r w:rsidR="00A67AB1">
        <w:rPr>
          <w:rFonts w:ascii="Arial" w:hAnsi="Arial" w:cs="Arial"/>
          <w:bCs/>
        </w:rPr>
        <w:t xml:space="preserve">si </w:t>
      </w:r>
      <w:r w:rsidR="00E34C26">
        <w:rPr>
          <w:rFonts w:ascii="Arial" w:hAnsi="Arial" w:cs="Arial"/>
          <w:bCs/>
        </w:rPr>
        <w:t>la ejecutoria dictada por este Tribunal definió las reglas bajo las cuales el CG deb</w:t>
      </w:r>
      <w:r w:rsidR="006902F9">
        <w:rPr>
          <w:rFonts w:ascii="Arial" w:hAnsi="Arial" w:cs="Arial"/>
          <w:bCs/>
        </w:rPr>
        <w:t>ió</w:t>
      </w:r>
      <w:r w:rsidR="00E34C26">
        <w:rPr>
          <w:rFonts w:ascii="Arial" w:hAnsi="Arial" w:cs="Arial"/>
          <w:bCs/>
        </w:rPr>
        <w:t xml:space="preserve"> establecer </w:t>
      </w:r>
      <w:r w:rsidR="005C359E">
        <w:rPr>
          <w:rFonts w:ascii="Arial" w:hAnsi="Arial" w:cs="Arial"/>
          <w:bCs/>
        </w:rPr>
        <w:t xml:space="preserve">los criterios </w:t>
      </w:r>
      <w:r w:rsidR="00E34C26">
        <w:rPr>
          <w:rFonts w:ascii="Arial" w:hAnsi="Arial" w:cs="Arial"/>
          <w:bCs/>
        </w:rPr>
        <w:t>de</w:t>
      </w:r>
      <w:r w:rsidR="005C359E">
        <w:rPr>
          <w:rFonts w:ascii="Arial" w:hAnsi="Arial" w:cs="Arial"/>
          <w:bCs/>
        </w:rPr>
        <w:t xml:space="preserve"> distribución del financiamiento público estata</w:t>
      </w:r>
      <w:r w:rsidR="00E34C26">
        <w:rPr>
          <w:rFonts w:ascii="Arial" w:hAnsi="Arial" w:cs="Arial"/>
          <w:bCs/>
        </w:rPr>
        <w:t>l a los partidos políticos</w:t>
      </w:r>
      <w:r w:rsidR="002A1E5E">
        <w:rPr>
          <w:rFonts w:ascii="Arial" w:hAnsi="Arial" w:cs="Arial"/>
          <w:bCs/>
        </w:rPr>
        <w:t xml:space="preserve"> y fue confirmada por la Sala Regional Monterrey</w:t>
      </w:r>
      <w:r w:rsidR="00A67AB1">
        <w:rPr>
          <w:rFonts w:ascii="Arial" w:hAnsi="Arial" w:cs="Arial"/>
          <w:bCs/>
        </w:rPr>
        <w:t xml:space="preserve">, </w:t>
      </w:r>
      <w:r>
        <w:rPr>
          <w:rFonts w:ascii="Arial" w:hAnsi="Arial" w:cs="Arial"/>
          <w:bCs/>
        </w:rPr>
        <w:t xml:space="preserve">ellas rigen a dicha autoridad y, por tanto, a éstas </w:t>
      </w:r>
      <w:r w:rsidR="00A67AB1">
        <w:rPr>
          <w:rFonts w:ascii="Arial" w:hAnsi="Arial" w:cs="Arial"/>
          <w:bCs/>
        </w:rPr>
        <w:t>se debe atender para analizar los agravios expuestos en el presente medio de impugnación.</w:t>
      </w:r>
    </w:p>
    <w:p w14:paraId="314E8590" w14:textId="79D77D11" w:rsidR="004F61F5" w:rsidRDefault="004F61F5" w:rsidP="002219EC">
      <w:pPr>
        <w:pStyle w:val="NormalWeb"/>
        <w:tabs>
          <w:tab w:val="right" w:pos="0"/>
        </w:tabs>
        <w:spacing w:before="0" w:beforeAutospacing="0" w:after="0" w:afterAutospacing="0" w:line="360" w:lineRule="auto"/>
        <w:contextualSpacing/>
        <w:mirrorIndents/>
        <w:jc w:val="both"/>
        <w:rPr>
          <w:rFonts w:ascii="Arial" w:hAnsi="Arial" w:cs="Arial"/>
          <w:b/>
        </w:rPr>
      </w:pPr>
    </w:p>
    <w:p w14:paraId="75927852" w14:textId="6546C536" w:rsidR="00AC56A9" w:rsidRDefault="00AC56A9" w:rsidP="002219EC">
      <w:pPr>
        <w:pStyle w:val="NormalWeb"/>
        <w:tabs>
          <w:tab w:val="right" w:pos="0"/>
        </w:tabs>
        <w:spacing w:before="0" w:beforeAutospacing="0" w:after="0" w:afterAutospacing="0" w:line="360" w:lineRule="auto"/>
        <w:contextualSpacing/>
        <w:mirrorIndents/>
        <w:jc w:val="both"/>
        <w:rPr>
          <w:rFonts w:ascii="Arial" w:hAnsi="Arial" w:cs="Arial"/>
          <w:b/>
        </w:rPr>
      </w:pPr>
      <w:r>
        <w:rPr>
          <w:rFonts w:ascii="Arial" w:hAnsi="Arial" w:cs="Arial"/>
          <w:b/>
        </w:rPr>
        <w:t>Sentencia de este Tribunal (TEEA-RAP-020/2019 y acumulados).</w:t>
      </w:r>
    </w:p>
    <w:p w14:paraId="6708A4D9" w14:textId="77777777" w:rsidR="00AC56A9" w:rsidRPr="00AC56A9" w:rsidRDefault="00AC56A9" w:rsidP="002219EC">
      <w:pPr>
        <w:pStyle w:val="NormalWeb"/>
        <w:tabs>
          <w:tab w:val="right" w:pos="0"/>
        </w:tabs>
        <w:spacing w:before="0" w:beforeAutospacing="0" w:after="0" w:afterAutospacing="0" w:line="360" w:lineRule="auto"/>
        <w:contextualSpacing/>
        <w:mirrorIndents/>
        <w:jc w:val="both"/>
        <w:rPr>
          <w:rFonts w:ascii="Arial" w:hAnsi="Arial" w:cs="Arial"/>
          <w:b/>
        </w:rPr>
      </w:pPr>
    </w:p>
    <w:p w14:paraId="5AE5F41A" w14:textId="1424EA13" w:rsidR="00A67AB1" w:rsidRDefault="002F5E72" w:rsidP="002219EC">
      <w:pPr>
        <w:pStyle w:val="NormalWeb"/>
        <w:tabs>
          <w:tab w:val="right" w:pos="0"/>
        </w:tabs>
        <w:spacing w:before="0" w:beforeAutospacing="0" w:after="0" w:afterAutospacing="0" w:line="360" w:lineRule="auto"/>
        <w:contextualSpacing/>
        <w:mirrorIndents/>
        <w:jc w:val="both"/>
        <w:rPr>
          <w:rFonts w:ascii="Arial" w:hAnsi="Arial" w:cs="Arial"/>
          <w:bCs/>
        </w:rPr>
      </w:pPr>
      <w:r>
        <w:rPr>
          <w:rFonts w:ascii="Arial" w:hAnsi="Arial" w:cs="Arial"/>
          <w:bCs/>
        </w:rPr>
        <w:t xml:space="preserve">En </w:t>
      </w:r>
      <w:r w:rsidR="00044FE5">
        <w:rPr>
          <w:rFonts w:ascii="Arial" w:hAnsi="Arial" w:cs="Arial"/>
          <w:bCs/>
        </w:rPr>
        <w:t>las circunstancias antes precisadas</w:t>
      </w:r>
      <w:r w:rsidR="00E07C03">
        <w:rPr>
          <w:rFonts w:ascii="Arial" w:hAnsi="Arial" w:cs="Arial"/>
          <w:bCs/>
        </w:rPr>
        <w:t xml:space="preserve">, </w:t>
      </w:r>
      <w:r w:rsidR="00A67AB1">
        <w:rPr>
          <w:rFonts w:ascii="Arial" w:hAnsi="Arial" w:cs="Arial"/>
          <w:bCs/>
        </w:rPr>
        <w:t xml:space="preserve">resulta pertinente reproducir en este apartado las consideraciones y determinaciones </w:t>
      </w:r>
      <w:r w:rsidR="00E07C03">
        <w:rPr>
          <w:rFonts w:ascii="Arial" w:hAnsi="Arial" w:cs="Arial"/>
          <w:bCs/>
        </w:rPr>
        <w:t>establecidas en tal sentencia</w:t>
      </w:r>
      <w:r w:rsidR="00CA4EA1">
        <w:rPr>
          <w:rFonts w:ascii="Arial" w:hAnsi="Arial" w:cs="Arial"/>
          <w:bCs/>
        </w:rPr>
        <w:t xml:space="preserve"> y que son aplicables al caso en análisis</w:t>
      </w:r>
      <w:r w:rsidR="00E07C03">
        <w:rPr>
          <w:rFonts w:ascii="Arial" w:hAnsi="Arial" w:cs="Arial"/>
          <w:bCs/>
        </w:rPr>
        <w:t xml:space="preserve">: </w:t>
      </w:r>
    </w:p>
    <w:p w14:paraId="082D1CCE" w14:textId="77777777" w:rsidR="00A67AB1" w:rsidRPr="00A67AB1" w:rsidRDefault="00A67AB1" w:rsidP="002219EC">
      <w:pPr>
        <w:pStyle w:val="NormalWeb"/>
        <w:tabs>
          <w:tab w:val="right" w:pos="0"/>
        </w:tabs>
        <w:spacing w:before="0" w:beforeAutospacing="0" w:after="0" w:afterAutospacing="0" w:line="360" w:lineRule="auto"/>
        <w:contextualSpacing/>
        <w:mirrorIndents/>
        <w:jc w:val="both"/>
        <w:rPr>
          <w:rFonts w:ascii="Arial" w:hAnsi="Arial" w:cs="Arial"/>
          <w:bCs/>
        </w:rPr>
      </w:pPr>
    </w:p>
    <w:p w14:paraId="63D4E4AC" w14:textId="42B7A00A" w:rsidR="00FC06FD" w:rsidRDefault="00E07C03" w:rsidP="00FC06FD">
      <w:pPr>
        <w:pStyle w:val="NormalWeb"/>
        <w:tabs>
          <w:tab w:val="center" w:pos="4419"/>
          <w:tab w:val="right" w:pos="9497"/>
        </w:tabs>
        <w:spacing w:before="0" w:beforeAutospacing="0" w:after="0" w:afterAutospacing="0" w:line="360" w:lineRule="auto"/>
        <w:contextualSpacing/>
        <w:mirrorIndents/>
        <w:jc w:val="both"/>
        <w:rPr>
          <w:rFonts w:ascii="Arial" w:hAnsi="Arial" w:cs="Arial"/>
          <w:b/>
        </w:rPr>
      </w:pPr>
      <w:r>
        <w:rPr>
          <w:rFonts w:ascii="Arial" w:hAnsi="Arial" w:cs="Arial"/>
          <w:b/>
        </w:rPr>
        <w:t xml:space="preserve">1. </w:t>
      </w:r>
      <w:r w:rsidR="00FC06FD">
        <w:rPr>
          <w:rFonts w:ascii="Arial" w:hAnsi="Arial" w:cs="Arial"/>
          <w:bCs/>
        </w:rPr>
        <w:t xml:space="preserve">De lo dispuesto por el </w:t>
      </w:r>
      <w:r w:rsidR="00FC06FD" w:rsidRPr="006E30FA">
        <w:rPr>
          <w:rFonts w:ascii="Arial" w:hAnsi="Arial" w:cs="Arial"/>
          <w:bCs/>
        </w:rPr>
        <w:t xml:space="preserve">artículo 116, párrafo segundo, fracción IV, inciso f), </w:t>
      </w:r>
      <w:r w:rsidR="00FC06FD">
        <w:rPr>
          <w:rFonts w:ascii="Arial" w:hAnsi="Arial" w:cs="Arial"/>
          <w:bCs/>
        </w:rPr>
        <w:t xml:space="preserve">y el diverso </w:t>
      </w:r>
      <w:r w:rsidR="00FC06FD" w:rsidRPr="006E30FA">
        <w:rPr>
          <w:rFonts w:ascii="Arial" w:hAnsi="Arial" w:cs="Arial"/>
          <w:bCs/>
        </w:rPr>
        <w:t>41 párrafo segundo, Base I, párrafo primero</w:t>
      </w:r>
      <w:r w:rsidR="00FC06FD">
        <w:rPr>
          <w:rFonts w:ascii="Arial" w:hAnsi="Arial" w:cs="Arial"/>
          <w:bCs/>
        </w:rPr>
        <w:t>, ambos</w:t>
      </w:r>
      <w:r w:rsidR="00FC06FD" w:rsidRPr="006E30FA">
        <w:rPr>
          <w:rFonts w:ascii="Arial" w:hAnsi="Arial" w:cs="Arial"/>
          <w:bCs/>
        </w:rPr>
        <w:t xml:space="preserve"> de la </w:t>
      </w:r>
      <w:r w:rsidR="00FC06FD">
        <w:rPr>
          <w:rFonts w:ascii="Arial" w:hAnsi="Arial" w:cs="Arial"/>
          <w:bCs/>
        </w:rPr>
        <w:t>CPEUM</w:t>
      </w:r>
      <w:r w:rsidR="00FC06FD" w:rsidRPr="006E30FA">
        <w:rPr>
          <w:rFonts w:ascii="Arial" w:hAnsi="Arial" w:cs="Arial"/>
          <w:bCs/>
        </w:rPr>
        <w:t xml:space="preserve">, </w:t>
      </w:r>
      <w:r w:rsidR="00FC06FD">
        <w:rPr>
          <w:rFonts w:ascii="Arial" w:hAnsi="Arial" w:cs="Arial"/>
          <w:bCs/>
        </w:rPr>
        <w:t xml:space="preserve">se obtiene que </w:t>
      </w:r>
      <w:r w:rsidR="00FC06FD" w:rsidRPr="00E07C03">
        <w:rPr>
          <w:rFonts w:ascii="Arial" w:hAnsi="Arial" w:cs="Arial"/>
          <w:b/>
        </w:rPr>
        <w:t xml:space="preserve">la base de </w:t>
      </w:r>
      <w:r w:rsidR="00FC06FD" w:rsidRPr="002D20D6">
        <w:rPr>
          <w:rFonts w:ascii="Arial" w:hAnsi="Arial" w:cs="Arial"/>
          <w:b/>
          <w:u w:val="single"/>
        </w:rPr>
        <w:t>acceso</w:t>
      </w:r>
      <w:r w:rsidR="00FC06FD" w:rsidRPr="006E30FA">
        <w:rPr>
          <w:rFonts w:ascii="Arial" w:hAnsi="Arial" w:cs="Arial"/>
          <w:bCs/>
        </w:rPr>
        <w:t xml:space="preserve"> a las prerrogativas</w:t>
      </w:r>
      <w:r w:rsidR="00FC06FD">
        <w:rPr>
          <w:rFonts w:ascii="Arial" w:hAnsi="Arial" w:cs="Arial"/>
          <w:bCs/>
        </w:rPr>
        <w:t xml:space="preserve"> de financiamiento público, es</w:t>
      </w:r>
      <w:r w:rsidR="00FC06FD" w:rsidRPr="006E30FA">
        <w:rPr>
          <w:rFonts w:ascii="Arial" w:hAnsi="Arial" w:cs="Arial"/>
          <w:bCs/>
        </w:rPr>
        <w:t xml:space="preserve"> la conservación del registro como partidos políticos y</w:t>
      </w:r>
      <w:r>
        <w:rPr>
          <w:rFonts w:ascii="Arial" w:hAnsi="Arial" w:cs="Arial"/>
          <w:bCs/>
        </w:rPr>
        <w:t>,</w:t>
      </w:r>
      <w:r w:rsidR="00FC06FD">
        <w:rPr>
          <w:rFonts w:ascii="Arial" w:hAnsi="Arial" w:cs="Arial"/>
          <w:bCs/>
        </w:rPr>
        <w:t xml:space="preserve"> </w:t>
      </w:r>
      <w:r w:rsidR="00FC06FD" w:rsidRPr="006E30FA">
        <w:rPr>
          <w:rFonts w:ascii="Arial" w:hAnsi="Arial" w:cs="Arial"/>
          <w:bCs/>
        </w:rPr>
        <w:t xml:space="preserve">esto depende específicamente de los resultados de las  elección de Gobernador y </w:t>
      </w:r>
      <w:r w:rsidR="00CA4EA1">
        <w:rPr>
          <w:rFonts w:ascii="Arial" w:hAnsi="Arial" w:cs="Arial"/>
          <w:bCs/>
        </w:rPr>
        <w:t>d</w:t>
      </w:r>
      <w:r w:rsidR="00FC06FD" w:rsidRPr="006E30FA">
        <w:rPr>
          <w:rFonts w:ascii="Arial" w:hAnsi="Arial" w:cs="Arial"/>
          <w:bCs/>
        </w:rPr>
        <w:t>iputados locales,</w:t>
      </w:r>
      <w:r w:rsidR="00FC06FD">
        <w:rPr>
          <w:rFonts w:ascii="Arial" w:hAnsi="Arial" w:cs="Arial"/>
          <w:bCs/>
        </w:rPr>
        <w:t xml:space="preserve"> es decir, </w:t>
      </w:r>
      <w:r w:rsidR="00FC06FD" w:rsidRPr="00FC06FD">
        <w:rPr>
          <w:rFonts w:ascii="Arial" w:hAnsi="Arial" w:cs="Arial"/>
          <w:b/>
        </w:rPr>
        <w:t xml:space="preserve">la puerta de </w:t>
      </w:r>
      <w:r w:rsidR="00FC06FD" w:rsidRPr="002D20D6">
        <w:rPr>
          <w:rFonts w:ascii="Arial" w:hAnsi="Arial" w:cs="Arial"/>
          <w:b/>
          <w:u w:val="single"/>
        </w:rPr>
        <w:t>acceso</w:t>
      </w:r>
      <w:r w:rsidR="00FC06FD" w:rsidRPr="00FC06FD">
        <w:rPr>
          <w:rFonts w:ascii="Arial" w:hAnsi="Arial" w:cs="Arial"/>
          <w:b/>
        </w:rPr>
        <w:t xml:space="preserve"> a las prerrogativas de los partidos políticos, es su registro</w:t>
      </w:r>
      <w:r w:rsidR="00FC06FD" w:rsidRPr="006E30FA">
        <w:rPr>
          <w:rFonts w:ascii="Arial" w:hAnsi="Arial" w:cs="Arial"/>
          <w:bCs/>
        </w:rPr>
        <w:t xml:space="preserve"> </w:t>
      </w:r>
      <w:r w:rsidR="00FC06FD" w:rsidRPr="00FC06FD">
        <w:rPr>
          <w:rFonts w:ascii="Arial" w:hAnsi="Arial" w:cs="Arial"/>
          <w:b/>
        </w:rPr>
        <w:t>como tales.</w:t>
      </w:r>
    </w:p>
    <w:p w14:paraId="19CF8B7C" w14:textId="4A26D862" w:rsidR="0041341A" w:rsidRDefault="0041341A" w:rsidP="00FC06FD">
      <w:pPr>
        <w:pStyle w:val="NormalWeb"/>
        <w:tabs>
          <w:tab w:val="center" w:pos="4419"/>
          <w:tab w:val="right" w:pos="9497"/>
        </w:tabs>
        <w:spacing w:before="0" w:beforeAutospacing="0" w:after="0" w:afterAutospacing="0" w:line="360" w:lineRule="auto"/>
        <w:contextualSpacing/>
        <w:mirrorIndents/>
        <w:jc w:val="both"/>
        <w:rPr>
          <w:rFonts w:ascii="Arial" w:hAnsi="Arial" w:cs="Arial"/>
          <w:b/>
        </w:rPr>
      </w:pPr>
    </w:p>
    <w:p w14:paraId="7F7A036F" w14:textId="03BB1BD8" w:rsidR="002D20D6" w:rsidRPr="002D20D6" w:rsidRDefault="002D20D6" w:rsidP="002D20D6">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b/>
        </w:rPr>
        <w:t>2</w:t>
      </w:r>
      <w:r w:rsidR="00E07C03">
        <w:rPr>
          <w:rFonts w:ascii="Arial" w:hAnsi="Arial" w:cs="Arial"/>
          <w:b/>
        </w:rPr>
        <w:t xml:space="preserve">. </w:t>
      </w:r>
      <w:r>
        <w:rPr>
          <w:rFonts w:ascii="Arial" w:hAnsi="Arial" w:cs="Arial"/>
          <w:bCs/>
        </w:rPr>
        <w:t xml:space="preserve">Si bien el </w:t>
      </w:r>
      <w:r w:rsidR="004F61F5" w:rsidRPr="00E07C03">
        <w:rPr>
          <w:rFonts w:ascii="Arial" w:hAnsi="Arial" w:cs="Arial"/>
          <w:bCs/>
        </w:rPr>
        <w:t>artículo 52 de la LGPP</w:t>
      </w:r>
      <w:r>
        <w:rPr>
          <w:rFonts w:ascii="Arial" w:hAnsi="Arial" w:cs="Arial"/>
          <w:bCs/>
        </w:rPr>
        <w:t xml:space="preserve"> y </w:t>
      </w:r>
      <w:r w:rsidR="004F61F5" w:rsidRPr="00E07C03">
        <w:rPr>
          <w:rFonts w:ascii="Arial" w:hAnsi="Arial" w:cs="Arial"/>
          <w:bCs/>
        </w:rPr>
        <w:t>el 31 del Código Electoral</w:t>
      </w:r>
      <w:r w:rsidR="00FC06FD" w:rsidRPr="00E07C03">
        <w:rPr>
          <w:rFonts w:ascii="Arial" w:hAnsi="Arial" w:cs="Arial"/>
          <w:bCs/>
        </w:rPr>
        <w:t>,</w:t>
      </w:r>
      <w:r w:rsidR="004F61F5" w:rsidRPr="00E07C03">
        <w:rPr>
          <w:rFonts w:ascii="Arial" w:hAnsi="Arial" w:cs="Arial"/>
          <w:bCs/>
        </w:rPr>
        <w:t xml:space="preserve"> </w:t>
      </w:r>
      <w:r>
        <w:rPr>
          <w:rFonts w:ascii="Arial" w:hAnsi="Arial" w:cs="Arial"/>
          <w:bCs/>
        </w:rPr>
        <w:t xml:space="preserve">establecen que </w:t>
      </w:r>
      <w:r w:rsidR="004F61F5" w:rsidRPr="00E07C03">
        <w:rPr>
          <w:rFonts w:ascii="Arial" w:hAnsi="Arial" w:cs="Arial"/>
          <w:bCs/>
        </w:rPr>
        <w:t xml:space="preserve">para </w:t>
      </w:r>
      <w:r w:rsidR="004F61F5" w:rsidRPr="002D20D6">
        <w:rPr>
          <w:rFonts w:ascii="Arial" w:hAnsi="Arial" w:cs="Arial"/>
          <w:bCs/>
          <w:u w:val="single"/>
        </w:rPr>
        <w:t>acceder</w:t>
      </w:r>
      <w:r w:rsidR="004F61F5" w:rsidRPr="00E07C03">
        <w:rPr>
          <w:rFonts w:ascii="Arial" w:hAnsi="Arial" w:cs="Arial"/>
          <w:bCs/>
        </w:rPr>
        <w:t xml:space="preserve"> a la prerrogativa del financiamiento público local, los partidos políticos deberán obtener el 3% de la </w:t>
      </w:r>
      <w:r w:rsidR="00FC06FD" w:rsidRPr="00E07C03">
        <w:rPr>
          <w:rFonts w:ascii="Arial" w:hAnsi="Arial" w:cs="Arial"/>
          <w:bCs/>
        </w:rPr>
        <w:t>v</w:t>
      </w:r>
      <w:r w:rsidR="004F61F5" w:rsidRPr="00E07C03">
        <w:rPr>
          <w:rFonts w:ascii="Arial" w:hAnsi="Arial" w:cs="Arial"/>
          <w:bCs/>
        </w:rPr>
        <w:t xml:space="preserve">otación </w:t>
      </w:r>
      <w:r w:rsidR="00FC06FD" w:rsidRPr="00E07C03">
        <w:rPr>
          <w:rFonts w:ascii="Arial" w:hAnsi="Arial" w:cs="Arial"/>
          <w:bCs/>
        </w:rPr>
        <w:t>v</w:t>
      </w:r>
      <w:r w:rsidR="004F61F5" w:rsidRPr="00E07C03">
        <w:rPr>
          <w:rFonts w:ascii="Arial" w:hAnsi="Arial" w:cs="Arial"/>
          <w:bCs/>
        </w:rPr>
        <w:t xml:space="preserve">alida </w:t>
      </w:r>
      <w:r w:rsidR="00FC06FD" w:rsidRPr="00E07C03">
        <w:rPr>
          <w:rFonts w:ascii="Arial" w:hAnsi="Arial" w:cs="Arial"/>
          <w:bCs/>
        </w:rPr>
        <w:t>e</w:t>
      </w:r>
      <w:r w:rsidR="004F61F5" w:rsidRPr="00E07C03">
        <w:rPr>
          <w:rFonts w:ascii="Arial" w:hAnsi="Arial" w:cs="Arial"/>
          <w:bCs/>
        </w:rPr>
        <w:t xml:space="preserve">mitida, en la elección de </w:t>
      </w:r>
      <w:r w:rsidR="004F61F5" w:rsidRPr="002D20D6">
        <w:rPr>
          <w:rFonts w:ascii="Arial" w:hAnsi="Arial" w:cs="Arial"/>
          <w:bCs/>
        </w:rPr>
        <w:t>Gobernador, diputados o de ayuntamientos</w:t>
      </w:r>
      <w:r w:rsidR="00FD6011">
        <w:rPr>
          <w:rFonts w:ascii="Arial" w:hAnsi="Arial" w:cs="Arial"/>
          <w:bCs/>
        </w:rPr>
        <w:t xml:space="preserve"> inmediata anterior</w:t>
      </w:r>
      <w:r w:rsidR="004F61F5" w:rsidRPr="002D20D6">
        <w:rPr>
          <w:rFonts w:ascii="Arial" w:hAnsi="Arial" w:cs="Arial"/>
          <w:b/>
        </w:rPr>
        <w:t xml:space="preserve"> </w:t>
      </w:r>
      <w:r w:rsidR="004F61F5" w:rsidRPr="002D20D6">
        <w:rPr>
          <w:rFonts w:ascii="Arial" w:hAnsi="Arial" w:cs="Arial"/>
          <w:b/>
          <w:i/>
          <w:iCs/>
        </w:rPr>
        <w:t>indistintamente</w:t>
      </w:r>
      <w:r>
        <w:rPr>
          <w:rFonts w:ascii="Arial" w:hAnsi="Arial" w:cs="Arial"/>
          <w:b/>
        </w:rPr>
        <w:t xml:space="preserve">, </w:t>
      </w:r>
      <w:r w:rsidRPr="00436E7D">
        <w:rPr>
          <w:rFonts w:ascii="Arial" w:hAnsi="Arial" w:cs="Arial"/>
          <w:bCs/>
        </w:rPr>
        <w:t>la</w:t>
      </w:r>
      <w:r w:rsidRPr="006E30FA">
        <w:rPr>
          <w:rFonts w:ascii="Arial" w:hAnsi="Arial" w:cs="Arial"/>
          <w:b/>
        </w:rPr>
        <w:t xml:space="preserve"> base </w:t>
      </w:r>
      <w:r w:rsidRPr="00436E7D">
        <w:rPr>
          <w:rFonts w:ascii="Arial" w:hAnsi="Arial" w:cs="Arial"/>
          <w:bCs/>
        </w:rPr>
        <w:t xml:space="preserve">de la </w:t>
      </w:r>
      <w:r w:rsidRPr="002D20D6">
        <w:rPr>
          <w:rFonts w:ascii="Arial" w:hAnsi="Arial" w:cs="Arial"/>
          <w:b/>
          <w:u w:val="single"/>
        </w:rPr>
        <w:t>distribución</w:t>
      </w:r>
      <w:r w:rsidRPr="00436E7D">
        <w:rPr>
          <w:rFonts w:ascii="Arial" w:hAnsi="Arial" w:cs="Arial"/>
          <w:bCs/>
        </w:rPr>
        <w:t xml:space="preserve"> del financiamiento público local</w:t>
      </w:r>
      <w:r>
        <w:rPr>
          <w:rFonts w:ascii="Arial" w:hAnsi="Arial" w:cs="Arial"/>
          <w:bCs/>
        </w:rPr>
        <w:t xml:space="preserve"> se rige por lo que </w:t>
      </w:r>
      <w:r w:rsidR="00436E7D" w:rsidRPr="006E30FA">
        <w:rPr>
          <w:rFonts w:ascii="Arial" w:hAnsi="Arial" w:cs="Arial"/>
          <w:color w:val="000000" w:themeColor="text1"/>
        </w:rPr>
        <w:t>dispuso el legislador local, en ejercicio de la libertad configurativa de la que goza</w:t>
      </w:r>
      <w:r>
        <w:rPr>
          <w:rFonts w:ascii="Arial" w:hAnsi="Arial" w:cs="Arial"/>
          <w:color w:val="000000" w:themeColor="text1"/>
        </w:rPr>
        <w:t xml:space="preserve">, quien </w:t>
      </w:r>
      <w:r w:rsidR="00436E7D" w:rsidRPr="00436E7D">
        <w:rPr>
          <w:rFonts w:ascii="Arial" w:hAnsi="Arial" w:cs="Arial"/>
          <w:bCs/>
        </w:rPr>
        <w:t xml:space="preserve">estableció que la </w:t>
      </w:r>
      <w:r>
        <w:rPr>
          <w:rFonts w:ascii="Arial" w:hAnsi="Arial" w:cs="Arial"/>
          <w:bCs/>
        </w:rPr>
        <w:t xml:space="preserve">votación que se debe tomar como base, es </w:t>
      </w:r>
      <w:r w:rsidR="00F56FE3">
        <w:rPr>
          <w:rFonts w:ascii="Arial" w:hAnsi="Arial" w:cs="Arial"/>
          <w:bCs/>
        </w:rPr>
        <w:t xml:space="preserve">únicamente </w:t>
      </w:r>
      <w:r>
        <w:rPr>
          <w:rFonts w:ascii="Arial" w:hAnsi="Arial" w:cs="Arial"/>
          <w:bCs/>
        </w:rPr>
        <w:t xml:space="preserve">la obtenida en la </w:t>
      </w:r>
      <w:r w:rsidR="00436E7D" w:rsidRPr="00436E7D">
        <w:rPr>
          <w:rFonts w:ascii="Arial" w:hAnsi="Arial" w:cs="Arial"/>
          <w:bCs/>
        </w:rPr>
        <w:t>elección de</w:t>
      </w:r>
      <w:r w:rsidR="00436E7D" w:rsidRPr="006E30FA">
        <w:rPr>
          <w:rFonts w:ascii="Arial" w:hAnsi="Arial" w:cs="Arial"/>
          <w:b/>
        </w:rPr>
        <w:t xml:space="preserve"> </w:t>
      </w:r>
      <w:r w:rsidR="00436E7D">
        <w:rPr>
          <w:rFonts w:ascii="Arial" w:hAnsi="Arial" w:cs="Arial"/>
          <w:b/>
        </w:rPr>
        <w:t>d</w:t>
      </w:r>
      <w:r w:rsidR="00436E7D" w:rsidRPr="006E30FA">
        <w:rPr>
          <w:rFonts w:ascii="Arial" w:hAnsi="Arial" w:cs="Arial"/>
          <w:b/>
        </w:rPr>
        <w:t>iputados</w:t>
      </w:r>
      <w:r>
        <w:rPr>
          <w:rFonts w:ascii="Arial" w:hAnsi="Arial" w:cs="Arial"/>
          <w:b/>
        </w:rPr>
        <w:t>.</w:t>
      </w:r>
      <w:r w:rsidR="00436E7D" w:rsidRPr="006E30FA">
        <w:rPr>
          <w:rFonts w:ascii="Arial" w:hAnsi="Arial" w:cs="Arial"/>
          <w:b/>
        </w:rPr>
        <w:t xml:space="preserve"> </w:t>
      </w:r>
    </w:p>
    <w:p w14:paraId="1D6C8F00" w14:textId="77777777" w:rsidR="002D20D6" w:rsidRDefault="002D20D6" w:rsidP="002D20D6">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5FC883F5" w14:textId="210B4877" w:rsidR="00436E7D" w:rsidRPr="006E30FA" w:rsidRDefault="001A46D4" w:rsidP="002D20D6">
      <w:pPr>
        <w:pStyle w:val="NormalWeb"/>
        <w:tabs>
          <w:tab w:val="center" w:pos="4419"/>
          <w:tab w:val="right" w:pos="9497"/>
        </w:tabs>
        <w:spacing w:before="0" w:beforeAutospacing="0" w:after="0" w:afterAutospacing="0" w:line="360" w:lineRule="auto"/>
        <w:contextualSpacing/>
        <w:mirrorIndents/>
        <w:jc w:val="both"/>
        <w:rPr>
          <w:rFonts w:ascii="Arial" w:hAnsi="Arial" w:cs="Arial"/>
          <w:color w:val="000000" w:themeColor="text1"/>
        </w:rPr>
      </w:pPr>
      <w:r>
        <w:rPr>
          <w:rFonts w:ascii="Arial" w:hAnsi="Arial" w:cs="Arial"/>
          <w:bCs/>
        </w:rPr>
        <w:t>Tal</w:t>
      </w:r>
      <w:r w:rsidR="002D20D6">
        <w:rPr>
          <w:rFonts w:ascii="Arial" w:hAnsi="Arial" w:cs="Arial"/>
          <w:bCs/>
        </w:rPr>
        <w:t xml:space="preserve"> determinación</w:t>
      </w:r>
      <w:r>
        <w:rPr>
          <w:rFonts w:ascii="Arial" w:hAnsi="Arial" w:cs="Arial"/>
          <w:bCs/>
        </w:rPr>
        <w:t>,</w:t>
      </w:r>
      <w:r w:rsidR="002D20D6">
        <w:rPr>
          <w:rFonts w:ascii="Arial" w:hAnsi="Arial" w:cs="Arial"/>
          <w:bCs/>
        </w:rPr>
        <w:t xml:space="preserve"> fue confirmada por </w:t>
      </w:r>
      <w:r w:rsidR="00835A02">
        <w:rPr>
          <w:rFonts w:ascii="Arial" w:hAnsi="Arial" w:cs="Arial"/>
          <w:bCs/>
        </w:rPr>
        <w:t>la Sala Regional Monterrey al resolver los juicios de revisión constitucional SM-JRC-069/2019 y SM-JRC-070/2019, acumulados.</w:t>
      </w:r>
    </w:p>
    <w:p w14:paraId="465C9A51" w14:textId="77777777" w:rsidR="00436E7D" w:rsidRPr="006E30FA" w:rsidRDefault="00436E7D" w:rsidP="00436E7D">
      <w:pPr>
        <w:pStyle w:val="NormalWeb"/>
        <w:tabs>
          <w:tab w:val="center" w:pos="284"/>
          <w:tab w:val="right" w:pos="9497"/>
        </w:tabs>
        <w:spacing w:before="0" w:beforeAutospacing="0" w:after="0" w:afterAutospacing="0" w:line="360" w:lineRule="auto"/>
        <w:contextualSpacing/>
        <w:mirrorIndents/>
        <w:jc w:val="both"/>
        <w:rPr>
          <w:rFonts w:ascii="Arial" w:hAnsi="Arial" w:cs="Arial"/>
          <w:b/>
          <w:bCs/>
          <w:color w:val="000000" w:themeColor="text1"/>
        </w:rPr>
      </w:pPr>
    </w:p>
    <w:p w14:paraId="6998E5E6" w14:textId="2B6BB8C7" w:rsidR="00436E7D" w:rsidRPr="006E30FA" w:rsidRDefault="001A46D4" w:rsidP="00436E7D">
      <w:pPr>
        <w:pStyle w:val="NormalWeb"/>
        <w:tabs>
          <w:tab w:val="center" w:pos="284"/>
          <w:tab w:val="right" w:pos="9497"/>
        </w:tabs>
        <w:spacing w:before="0" w:beforeAutospacing="0" w:after="0" w:afterAutospacing="0" w:line="360" w:lineRule="auto"/>
        <w:contextualSpacing/>
        <w:mirrorIndents/>
        <w:jc w:val="both"/>
        <w:rPr>
          <w:rFonts w:ascii="Arial" w:hAnsi="Arial" w:cs="Arial"/>
          <w:b/>
          <w:bCs/>
          <w:color w:val="000000" w:themeColor="text1"/>
        </w:rPr>
      </w:pPr>
      <w:r>
        <w:rPr>
          <w:rFonts w:ascii="Arial" w:hAnsi="Arial" w:cs="Arial"/>
          <w:color w:val="000000" w:themeColor="text1"/>
        </w:rPr>
        <w:t>Así</w:t>
      </w:r>
      <w:r w:rsidR="00436E7D">
        <w:rPr>
          <w:rFonts w:ascii="Arial" w:hAnsi="Arial" w:cs="Arial"/>
          <w:color w:val="000000" w:themeColor="text1"/>
        </w:rPr>
        <w:t xml:space="preserve">, </w:t>
      </w:r>
      <w:r w:rsidR="00436E7D" w:rsidRPr="006E30FA">
        <w:rPr>
          <w:rFonts w:ascii="Arial" w:hAnsi="Arial" w:cs="Arial"/>
          <w:color w:val="000000" w:themeColor="text1"/>
        </w:rPr>
        <w:t xml:space="preserve">como </w:t>
      </w:r>
      <w:r w:rsidR="00436E7D">
        <w:rPr>
          <w:rFonts w:ascii="Arial" w:hAnsi="Arial" w:cs="Arial"/>
          <w:color w:val="000000" w:themeColor="text1"/>
        </w:rPr>
        <w:t>se</w:t>
      </w:r>
      <w:r w:rsidR="00436E7D" w:rsidRPr="006E30FA">
        <w:rPr>
          <w:rFonts w:ascii="Arial" w:hAnsi="Arial" w:cs="Arial"/>
          <w:color w:val="000000" w:themeColor="text1"/>
        </w:rPr>
        <w:t xml:space="preserve"> precis</w:t>
      </w:r>
      <w:r w:rsidR="00436E7D">
        <w:rPr>
          <w:rFonts w:ascii="Arial" w:hAnsi="Arial" w:cs="Arial"/>
          <w:color w:val="000000" w:themeColor="text1"/>
        </w:rPr>
        <w:t>ó en tal resolución</w:t>
      </w:r>
      <w:r w:rsidR="00436E7D" w:rsidRPr="006E30FA">
        <w:rPr>
          <w:rFonts w:ascii="Arial" w:hAnsi="Arial" w:cs="Arial"/>
          <w:color w:val="000000" w:themeColor="text1"/>
        </w:rPr>
        <w:t xml:space="preserve">, </w:t>
      </w:r>
      <w:r w:rsidR="00436E7D">
        <w:rPr>
          <w:rFonts w:ascii="Arial" w:hAnsi="Arial" w:cs="Arial"/>
          <w:color w:val="000000" w:themeColor="text1"/>
        </w:rPr>
        <w:t xml:space="preserve">el </w:t>
      </w:r>
      <w:r w:rsidR="00436E7D" w:rsidRPr="006E30FA">
        <w:rPr>
          <w:rFonts w:ascii="Arial" w:hAnsi="Arial" w:cs="Arial"/>
          <w:color w:val="000000" w:themeColor="text1"/>
        </w:rPr>
        <w:t xml:space="preserve">artículo 33, fracciones V y VI, </w:t>
      </w:r>
      <w:r w:rsidR="00436E7D">
        <w:rPr>
          <w:rFonts w:ascii="Arial" w:hAnsi="Arial" w:cs="Arial"/>
          <w:color w:val="000000" w:themeColor="text1"/>
        </w:rPr>
        <w:t xml:space="preserve">del Código Electoral, </w:t>
      </w:r>
      <w:r w:rsidR="00436E7D" w:rsidRPr="006E30FA">
        <w:rPr>
          <w:rFonts w:ascii="Arial" w:hAnsi="Arial" w:cs="Arial"/>
          <w:color w:val="000000" w:themeColor="text1"/>
        </w:rPr>
        <w:t xml:space="preserve">expresamente señalan como parámetro </w:t>
      </w:r>
      <w:r>
        <w:rPr>
          <w:rFonts w:ascii="Arial" w:hAnsi="Arial" w:cs="Arial"/>
          <w:color w:val="000000" w:themeColor="text1"/>
        </w:rPr>
        <w:t xml:space="preserve">para la </w:t>
      </w:r>
      <w:r w:rsidRPr="001A46D4">
        <w:rPr>
          <w:rFonts w:ascii="Arial" w:hAnsi="Arial" w:cs="Arial"/>
          <w:b/>
          <w:bCs/>
          <w:color w:val="000000" w:themeColor="text1"/>
          <w:u w:val="single"/>
        </w:rPr>
        <w:t>distribución</w:t>
      </w:r>
      <w:r>
        <w:rPr>
          <w:rFonts w:ascii="Arial" w:hAnsi="Arial" w:cs="Arial"/>
          <w:color w:val="000000" w:themeColor="text1"/>
        </w:rPr>
        <w:t xml:space="preserve"> del financiamiento, </w:t>
      </w:r>
      <w:r w:rsidR="00436E7D" w:rsidRPr="006E30FA">
        <w:rPr>
          <w:rFonts w:ascii="Arial" w:hAnsi="Arial" w:cs="Arial"/>
          <w:color w:val="000000" w:themeColor="text1"/>
        </w:rPr>
        <w:t xml:space="preserve">la elección de </w:t>
      </w:r>
      <w:r w:rsidR="00436E7D" w:rsidRPr="006E30FA">
        <w:rPr>
          <w:rFonts w:ascii="Arial" w:hAnsi="Arial" w:cs="Arial"/>
          <w:b/>
          <w:bCs/>
          <w:color w:val="000000" w:themeColor="text1"/>
        </w:rPr>
        <w:t>diputados locales</w:t>
      </w:r>
      <w:r w:rsidR="00436E7D">
        <w:rPr>
          <w:rStyle w:val="Refdenotaalpie"/>
          <w:rFonts w:ascii="Arial" w:hAnsi="Arial" w:cs="Arial"/>
          <w:b/>
          <w:bCs/>
          <w:color w:val="000000" w:themeColor="text1"/>
        </w:rPr>
        <w:footnoteReference w:id="3"/>
      </w:r>
      <w:r w:rsidR="00436E7D" w:rsidRPr="006E30FA">
        <w:rPr>
          <w:rFonts w:ascii="Arial" w:hAnsi="Arial" w:cs="Arial"/>
          <w:b/>
          <w:bCs/>
          <w:color w:val="000000" w:themeColor="text1"/>
        </w:rPr>
        <w:t xml:space="preserve">. </w:t>
      </w:r>
    </w:p>
    <w:p w14:paraId="65CA604E" w14:textId="77777777" w:rsidR="004F61F5" w:rsidRPr="006E30FA" w:rsidRDefault="004F61F5" w:rsidP="004F61F5">
      <w:pPr>
        <w:pStyle w:val="NormalWeb"/>
        <w:tabs>
          <w:tab w:val="center" w:pos="426"/>
          <w:tab w:val="right" w:pos="9497"/>
        </w:tabs>
        <w:spacing w:before="0" w:beforeAutospacing="0" w:after="0" w:afterAutospacing="0" w:line="360" w:lineRule="auto"/>
        <w:contextualSpacing/>
        <w:mirrorIndents/>
        <w:jc w:val="both"/>
        <w:rPr>
          <w:rFonts w:ascii="Arial" w:hAnsi="Arial" w:cs="Arial"/>
          <w:color w:val="000000" w:themeColor="text1"/>
        </w:rPr>
      </w:pPr>
    </w:p>
    <w:p w14:paraId="5944140A" w14:textId="18BFE0EF" w:rsidR="00FC06FD" w:rsidRDefault="002D20D6" w:rsidP="004F61F5">
      <w:pPr>
        <w:pStyle w:val="NormalWeb"/>
        <w:tabs>
          <w:tab w:val="center" w:pos="4419"/>
          <w:tab w:val="right" w:pos="9497"/>
        </w:tabs>
        <w:spacing w:before="0" w:beforeAutospacing="0" w:after="0" w:afterAutospacing="0" w:line="360" w:lineRule="auto"/>
        <w:contextualSpacing/>
        <w:mirrorIndents/>
        <w:jc w:val="both"/>
        <w:rPr>
          <w:rFonts w:ascii="Arial" w:hAnsi="Arial" w:cs="Arial"/>
          <w:color w:val="000000" w:themeColor="text1"/>
        </w:rPr>
      </w:pPr>
      <w:r>
        <w:rPr>
          <w:rFonts w:ascii="Arial" w:hAnsi="Arial" w:cs="Arial"/>
          <w:b/>
          <w:bCs/>
          <w:color w:val="000000" w:themeColor="text1"/>
        </w:rPr>
        <w:lastRenderedPageBreak/>
        <w:t>3</w:t>
      </w:r>
      <w:r w:rsidR="000F01DA">
        <w:rPr>
          <w:rFonts w:ascii="Arial" w:hAnsi="Arial" w:cs="Arial"/>
          <w:b/>
          <w:bCs/>
          <w:color w:val="000000" w:themeColor="text1"/>
        </w:rPr>
        <w:t xml:space="preserve">. </w:t>
      </w:r>
      <w:r w:rsidR="00835A02">
        <w:rPr>
          <w:rFonts w:ascii="Arial" w:hAnsi="Arial" w:cs="Arial"/>
          <w:color w:val="000000" w:themeColor="text1"/>
        </w:rPr>
        <w:t>Por otra parte</w:t>
      </w:r>
      <w:r w:rsidR="00436E7D" w:rsidRPr="00436E7D">
        <w:rPr>
          <w:rFonts w:ascii="Arial" w:hAnsi="Arial" w:cs="Arial"/>
          <w:color w:val="000000" w:themeColor="text1"/>
        </w:rPr>
        <w:t>,</w:t>
      </w:r>
      <w:r w:rsidR="00436E7D">
        <w:rPr>
          <w:rFonts w:ascii="Arial" w:hAnsi="Arial" w:cs="Arial"/>
          <w:b/>
          <w:bCs/>
          <w:color w:val="000000" w:themeColor="text1"/>
        </w:rPr>
        <w:t xml:space="preserve"> </w:t>
      </w:r>
      <w:r w:rsidR="00436E7D" w:rsidRPr="00436E7D">
        <w:rPr>
          <w:rFonts w:ascii="Arial" w:hAnsi="Arial" w:cs="Arial"/>
          <w:color w:val="000000" w:themeColor="text1"/>
        </w:rPr>
        <w:t>l</w:t>
      </w:r>
      <w:r w:rsidR="004F61F5" w:rsidRPr="006E30FA">
        <w:rPr>
          <w:rFonts w:ascii="Arial" w:hAnsi="Arial" w:cs="Arial"/>
          <w:color w:val="000000" w:themeColor="text1"/>
        </w:rPr>
        <w:t xml:space="preserve">a configuración normativa </w:t>
      </w:r>
      <w:r w:rsidR="004C6C3C">
        <w:rPr>
          <w:rFonts w:ascii="Arial" w:hAnsi="Arial" w:cs="Arial"/>
          <w:color w:val="000000" w:themeColor="text1"/>
        </w:rPr>
        <w:t>del Estado de Aguascalientes</w:t>
      </w:r>
      <w:r w:rsidR="004F61F5" w:rsidRPr="006E30FA">
        <w:rPr>
          <w:rFonts w:ascii="Arial" w:hAnsi="Arial" w:cs="Arial"/>
          <w:color w:val="000000" w:themeColor="text1"/>
        </w:rPr>
        <w:t xml:space="preserve">, </w:t>
      </w:r>
      <w:r w:rsidR="00E07C03">
        <w:rPr>
          <w:rFonts w:ascii="Arial" w:hAnsi="Arial" w:cs="Arial"/>
          <w:color w:val="000000" w:themeColor="text1"/>
        </w:rPr>
        <w:t xml:space="preserve">prevé </w:t>
      </w:r>
      <w:r w:rsidR="004F61F5" w:rsidRPr="006E30FA">
        <w:rPr>
          <w:rFonts w:ascii="Arial" w:hAnsi="Arial" w:cs="Arial"/>
          <w:color w:val="000000" w:themeColor="text1"/>
        </w:rPr>
        <w:t xml:space="preserve">dos </w:t>
      </w:r>
      <w:r w:rsidR="004F61F5">
        <w:rPr>
          <w:rFonts w:ascii="Arial" w:hAnsi="Arial" w:cs="Arial"/>
          <w:color w:val="000000" w:themeColor="text1"/>
        </w:rPr>
        <w:t>h</w:t>
      </w:r>
      <w:r w:rsidR="004F61F5" w:rsidRPr="006E30FA">
        <w:rPr>
          <w:rFonts w:ascii="Arial" w:hAnsi="Arial" w:cs="Arial"/>
          <w:color w:val="000000" w:themeColor="text1"/>
        </w:rPr>
        <w:t xml:space="preserve">ipótesis que posibilitan a los partidos políticos </w:t>
      </w:r>
      <w:r w:rsidR="00436E7D">
        <w:rPr>
          <w:rFonts w:ascii="Arial" w:hAnsi="Arial" w:cs="Arial"/>
          <w:color w:val="000000" w:themeColor="text1"/>
        </w:rPr>
        <w:t xml:space="preserve">locales </w:t>
      </w:r>
      <w:r w:rsidR="00044FE5">
        <w:rPr>
          <w:rFonts w:ascii="Arial" w:hAnsi="Arial" w:cs="Arial"/>
          <w:color w:val="000000" w:themeColor="text1"/>
        </w:rPr>
        <w:t xml:space="preserve">acceder al </w:t>
      </w:r>
      <w:r w:rsidR="004F61F5" w:rsidRPr="006E30FA">
        <w:rPr>
          <w:rFonts w:ascii="Arial" w:hAnsi="Arial" w:cs="Arial"/>
          <w:color w:val="000000" w:themeColor="text1"/>
        </w:rPr>
        <w:t>financiamiento</w:t>
      </w:r>
      <w:r w:rsidR="004F61F5">
        <w:rPr>
          <w:rFonts w:ascii="Arial" w:hAnsi="Arial" w:cs="Arial"/>
          <w:color w:val="000000" w:themeColor="text1"/>
        </w:rPr>
        <w:t>,</w:t>
      </w:r>
      <w:r w:rsidR="0029732B">
        <w:rPr>
          <w:rFonts w:ascii="Arial" w:hAnsi="Arial" w:cs="Arial"/>
          <w:color w:val="000000" w:themeColor="text1"/>
        </w:rPr>
        <w:t xml:space="preserve"> aun cuando no hayan participado en una elección de gubernatura o diputaciones</w:t>
      </w:r>
      <w:r w:rsidR="00EF3500" w:rsidRPr="000F01DA">
        <w:rPr>
          <w:rStyle w:val="Refdenotaalpie"/>
          <w:rFonts w:ascii="Arial" w:hAnsi="Arial" w:cs="Arial"/>
          <w:color w:val="000000" w:themeColor="text1"/>
        </w:rPr>
        <w:footnoteReference w:id="4"/>
      </w:r>
      <w:r w:rsidR="00FC06FD">
        <w:rPr>
          <w:rFonts w:ascii="Arial" w:hAnsi="Arial" w:cs="Arial"/>
          <w:color w:val="000000" w:themeColor="text1"/>
        </w:rPr>
        <w:t xml:space="preserve">, a saber: </w:t>
      </w:r>
    </w:p>
    <w:p w14:paraId="64F6597C" w14:textId="77777777" w:rsidR="00FB3B51" w:rsidRDefault="00FB3B51" w:rsidP="00FB3B51">
      <w:pPr>
        <w:pStyle w:val="NormalWeb"/>
        <w:tabs>
          <w:tab w:val="center" w:pos="4419"/>
          <w:tab w:val="right" w:pos="9497"/>
        </w:tabs>
        <w:spacing w:before="0" w:beforeAutospacing="0" w:after="0" w:afterAutospacing="0" w:line="360" w:lineRule="auto"/>
        <w:contextualSpacing/>
        <w:mirrorIndents/>
        <w:jc w:val="both"/>
        <w:rPr>
          <w:rFonts w:ascii="Arial" w:hAnsi="Arial" w:cs="Arial"/>
          <w:color w:val="000000" w:themeColor="text1"/>
        </w:rPr>
      </w:pPr>
    </w:p>
    <w:p w14:paraId="1A7357DC" w14:textId="64F97FE9" w:rsidR="00FC06FD" w:rsidRDefault="00FC06FD" w:rsidP="00FB3B51">
      <w:pPr>
        <w:pStyle w:val="NormalWeb"/>
        <w:tabs>
          <w:tab w:val="center" w:pos="4419"/>
          <w:tab w:val="right" w:pos="9497"/>
        </w:tabs>
        <w:spacing w:before="0" w:beforeAutospacing="0" w:after="0" w:afterAutospacing="0" w:line="360" w:lineRule="auto"/>
        <w:contextualSpacing/>
        <w:mirrorIndents/>
        <w:jc w:val="both"/>
        <w:rPr>
          <w:rFonts w:ascii="Arial" w:hAnsi="Arial" w:cs="Arial"/>
          <w:color w:val="000000" w:themeColor="text1"/>
        </w:rPr>
      </w:pPr>
      <w:r>
        <w:rPr>
          <w:rFonts w:ascii="Arial" w:hAnsi="Arial" w:cs="Arial"/>
          <w:b/>
          <w:bCs/>
          <w:color w:val="000000" w:themeColor="text1"/>
        </w:rPr>
        <w:t xml:space="preserve">a) </w:t>
      </w:r>
      <w:r w:rsidR="002D20D6">
        <w:rPr>
          <w:rFonts w:ascii="Arial" w:hAnsi="Arial" w:cs="Arial"/>
          <w:color w:val="000000" w:themeColor="text1"/>
        </w:rPr>
        <w:t>L</w:t>
      </w:r>
      <w:r w:rsidR="004F61F5" w:rsidRPr="006E30FA">
        <w:rPr>
          <w:rFonts w:ascii="Arial" w:hAnsi="Arial" w:cs="Arial"/>
          <w:color w:val="000000" w:themeColor="text1"/>
        </w:rPr>
        <w:t>os partidos políticos de nueva creación</w:t>
      </w:r>
      <w:r>
        <w:rPr>
          <w:rFonts w:ascii="Arial" w:hAnsi="Arial" w:cs="Arial"/>
          <w:color w:val="000000" w:themeColor="text1"/>
        </w:rPr>
        <w:t>,</w:t>
      </w:r>
      <w:r w:rsidR="004F61F5" w:rsidRPr="006E30FA">
        <w:rPr>
          <w:rFonts w:ascii="Arial" w:hAnsi="Arial" w:cs="Arial"/>
          <w:color w:val="000000" w:themeColor="text1"/>
        </w:rPr>
        <w:t xml:space="preserve"> que aún no han tenido oportunidad de demostrar su nivel de representación en la </w:t>
      </w:r>
      <w:r w:rsidR="004F61F5">
        <w:rPr>
          <w:rFonts w:ascii="Arial" w:hAnsi="Arial" w:cs="Arial"/>
          <w:color w:val="000000" w:themeColor="text1"/>
        </w:rPr>
        <w:t>e</w:t>
      </w:r>
      <w:r w:rsidR="004F61F5" w:rsidRPr="006E30FA">
        <w:rPr>
          <w:rFonts w:ascii="Arial" w:hAnsi="Arial" w:cs="Arial"/>
          <w:color w:val="000000" w:themeColor="text1"/>
        </w:rPr>
        <w:t>ntidad</w:t>
      </w:r>
      <w:r>
        <w:rPr>
          <w:rFonts w:ascii="Arial" w:hAnsi="Arial" w:cs="Arial"/>
          <w:color w:val="000000" w:themeColor="text1"/>
        </w:rPr>
        <w:t xml:space="preserve"> a través de una elección</w:t>
      </w:r>
      <w:r w:rsidR="00C710DC">
        <w:rPr>
          <w:rStyle w:val="Refdenotaalpie"/>
          <w:rFonts w:ascii="Arial" w:hAnsi="Arial" w:cs="Arial"/>
          <w:color w:val="000000" w:themeColor="text1"/>
        </w:rPr>
        <w:footnoteReference w:id="5"/>
      </w:r>
      <w:r w:rsidR="000F01DA">
        <w:rPr>
          <w:rFonts w:ascii="Arial" w:hAnsi="Arial" w:cs="Arial"/>
          <w:color w:val="000000" w:themeColor="text1"/>
        </w:rPr>
        <w:t>.</w:t>
      </w:r>
      <w:r>
        <w:rPr>
          <w:rFonts w:ascii="Arial" w:hAnsi="Arial" w:cs="Arial"/>
          <w:color w:val="000000" w:themeColor="text1"/>
        </w:rPr>
        <w:t xml:space="preserve"> </w:t>
      </w:r>
    </w:p>
    <w:p w14:paraId="2DF75727" w14:textId="77777777" w:rsidR="00FB3B51" w:rsidRDefault="00FB3B51" w:rsidP="00FB3B51">
      <w:pPr>
        <w:pStyle w:val="NormalWeb"/>
        <w:tabs>
          <w:tab w:val="center" w:pos="4419"/>
          <w:tab w:val="right" w:pos="9497"/>
        </w:tabs>
        <w:spacing w:before="0" w:beforeAutospacing="0" w:after="0" w:afterAutospacing="0" w:line="360" w:lineRule="auto"/>
        <w:contextualSpacing/>
        <w:mirrorIndents/>
        <w:jc w:val="both"/>
        <w:rPr>
          <w:rFonts w:ascii="Arial" w:hAnsi="Arial" w:cs="Arial"/>
          <w:color w:val="000000" w:themeColor="text1"/>
        </w:rPr>
      </w:pPr>
    </w:p>
    <w:p w14:paraId="1FDD8BF8" w14:textId="59D3D09F" w:rsidR="004F61F5" w:rsidRPr="006E30FA" w:rsidRDefault="004C6C3C" w:rsidP="00FB3B51">
      <w:pPr>
        <w:pStyle w:val="NormalWeb"/>
        <w:tabs>
          <w:tab w:val="center" w:pos="4419"/>
          <w:tab w:val="right" w:pos="9497"/>
        </w:tabs>
        <w:spacing w:before="0" w:beforeAutospacing="0" w:after="0" w:afterAutospacing="0" w:line="360" w:lineRule="auto"/>
        <w:contextualSpacing/>
        <w:mirrorIndents/>
        <w:jc w:val="both"/>
        <w:rPr>
          <w:rFonts w:ascii="Arial" w:hAnsi="Arial" w:cs="Arial"/>
          <w:b/>
          <w:bCs/>
          <w:color w:val="000000" w:themeColor="text1"/>
        </w:rPr>
      </w:pPr>
      <w:r>
        <w:rPr>
          <w:rFonts w:ascii="Arial" w:hAnsi="Arial" w:cs="Arial"/>
          <w:b/>
          <w:bCs/>
          <w:color w:val="000000" w:themeColor="text1"/>
        </w:rPr>
        <w:t xml:space="preserve">b) </w:t>
      </w:r>
      <w:r>
        <w:rPr>
          <w:rFonts w:ascii="Arial" w:hAnsi="Arial" w:cs="Arial"/>
          <w:color w:val="000000" w:themeColor="text1"/>
        </w:rPr>
        <w:t>L</w:t>
      </w:r>
      <w:r w:rsidR="004F61F5" w:rsidRPr="006E30FA">
        <w:rPr>
          <w:rFonts w:ascii="Arial" w:hAnsi="Arial" w:cs="Arial"/>
          <w:color w:val="000000" w:themeColor="text1"/>
        </w:rPr>
        <w:t>os partidos políticos que</w:t>
      </w:r>
      <w:r w:rsidR="00436E7D">
        <w:rPr>
          <w:rFonts w:ascii="Arial" w:hAnsi="Arial" w:cs="Arial"/>
          <w:color w:val="000000" w:themeColor="text1"/>
        </w:rPr>
        <w:t>,</w:t>
      </w:r>
      <w:r w:rsidR="004F61F5" w:rsidRPr="006E30FA">
        <w:rPr>
          <w:rFonts w:ascii="Arial" w:hAnsi="Arial" w:cs="Arial"/>
          <w:color w:val="000000" w:themeColor="text1"/>
        </w:rPr>
        <w:t xml:space="preserve"> habiendo </w:t>
      </w:r>
      <w:r w:rsidR="004F61F5" w:rsidRPr="000F01DA">
        <w:rPr>
          <w:rFonts w:ascii="Arial" w:hAnsi="Arial" w:cs="Arial"/>
          <w:color w:val="000000" w:themeColor="text1"/>
        </w:rPr>
        <w:t>conservado su registro legal</w:t>
      </w:r>
      <w:r w:rsidR="00436E7D">
        <w:rPr>
          <w:rFonts w:ascii="Arial" w:hAnsi="Arial" w:cs="Arial"/>
          <w:color w:val="000000" w:themeColor="text1"/>
        </w:rPr>
        <w:t>,</w:t>
      </w:r>
      <w:r w:rsidR="004F61F5" w:rsidRPr="000F01DA">
        <w:rPr>
          <w:rFonts w:ascii="Arial" w:hAnsi="Arial" w:cs="Arial"/>
          <w:color w:val="000000" w:themeColor="text1"/>
        </w:rPr>
        <w:t xml:space="preserve"> no cuenten con representación en el Congreso local.</w:t>
      </w:r>
    </w:p>
    <w:p w14:paraId="114F77B2" w14:textId="77777777" w:rsidR="004F61F5" w:rsidRPr="006E30FA" w:rsidRDefault="004F61F5" w:rsidP="004F61F5">
      <w:pPr>
        <w:pStyle w:val="NormalWeb"/>
        <w:tabs>
          <w:tab w:val="center" w:pos="4419"/>
          <w:tab w:val="right" w:pos="9497"/>
        </w:tabs>
        <w:spacing w:before="0" w:beforeAutospacing="0" w:after="0" w:afterAutospacing="0" w:line="360" w:lineRule="auto"/>
        <w:contextualSpacing/>
        <w:mirrorIndents/>
        <w:jc w:val="both"/>
        <w:rPr>
          <w:rFonts w:ascii="Arial" w:hAnsi="Arial" w:cs="Arial"/>
          <w:b/>
          <w:bCs/>
          <w:color w:val="000000" w:themeColor="text1"/>
        </w:rPr>
      </w:pPr>
    </w:p>
    <w:p w14:paraId="27E02FB5" w14:textId="5C30AEAB" w:rsidR="004F61F5" w:rsidRDefault="000F01DA" w:rsidP="000F01DA">
      <w:pPr>
        <w:pStyle w:val="NormalWeb"/>
        <w:spacing w:before="0" w:beforeAutospacing="0" w:after="0" w:afterAutospacing="0" w:line="360" w:lineRule="auto"/>
        <w:contextualSpacing/>
        <w:mirrorIndents/>
        <w:jc w:val="both"/>
        <w:rPr>
          <w:rFonts w:ascii="Arial" w:hAnsi="Arial" w:cs="Arial"/>
          <w:color w:val="000000" w:themeColor="text1"/>
        </w:rPr>
      </w:pPr>
      <w:r>
        <w:rPr>
          <w:rFonts w:ascii="Arial" w:hAnsi="Arial" w:cs="Arial"/>
          <w:color w:val="000000" w:themeColor="text1"/>
        </w:rPr>
        <w:t xml:space="preserve">En ambos casos, </w:t>
      </w:r>
      <w:r w:rsidR="002D20D6">
        <w:rPr>
          <w:rFonts w:ascii="Arial" w:hAnsi="Arial" w:cs="Arial"/>
          <w:color w:val="000000" w:themeColor="text1"/>
        </w:rPr>
        <w:t xml:space="preserve">dice la ley, </w:t>
      </w:r>
      <w:r w:rsidR="004F61F5" w:rsidRPr="006E30FA">
        <w:rPr>
          <w:rFonts w:ascii="Arial" w:hAnsi="Arial" w:cs="Arial"/>
          <w:color w:val="000000" w:themeColor="text1"/>
        </w:rPr>
        <w:t>se les asignará el financiamiento público que</w:t>
      </w:r>
      <w:r w:rsidR="00C52EC1">
        <w:rPr>
          <w:rFonts w:ascii="Arial" w:hAnsi="Arial" w:cs="Arial"/>
          <w:color w:val="000000" w:themeColor="text1"/>
        </w:rPr>
        <w:t>,</w:t>
      </w:r>
      <w:r w:rsidR="004F61F5" w:rsidRPr="006E30FA">
        <w:rPr>
          <w:rFonts w:ascii="Arial" w:hAnsi="Arial" w:cs="Arial"/>
          <w:color w:val="000000" w:themeColor="text1"/>
        </w:rPr>
        <w:t xml:space="preserve"> para el sostenimiento de actividades ordinarias permanentes, establece la f</w:t>
      </w:r>
      <w:r w:rsidR="00CA4EA1">
        <w:rPr>
          <w:rFonts w:ascii="Arial" w:hAnsi="Arial" w:cs="Arial"/>
          <w:color w:val="000000" w:themeColor="text1"/>
        </w:rPr>
        <w:t>ó</w:t>
      </w:r>
      <w:r w:rsidR="004F61F5" w:rsidRPr="006E30FA">
        <w:rPr>
          <w:rFonts w:ascii="Arial" w:hAnsi="Arial" w:cs="Arial"/>
          <w:color w:val="000000" w:themeColor="text1"/>
        </w:rPr>
        <w:t xml:space="preserve">rmula contenida en el artículo 51, párrafo 2, inciso a) de la LGPP. </w:t>
      </w:r>
    </w:p>
    <w:p w14:paraId="67580BE4" w14:textId="37CD1F77" w:rsidR="00044FE5" w:rsidRDefault="00044FE5" w:rsidP="000F01DA">
      <w:pPr>
        <w:pStyle w:val="NormalWeb"/>
        <w:spacing w:before="0" w:beforeAutospacing="0" w:after="0" w:afterAutospacing="0" w:line="360" w:lineRule="auto"/>
        <w:contextualSpacing/>
        <w:mirrorIndents/>
        <w:jc w:val="both"/>
        <w:rPr>
          <w:rFonts w:ascii="Arial" w:hAnsi="Arial" w:cs="Arial"/>
          <w:color w:val="000000" w:themeColor="text1"/>
        </w:rPr>
      </w:pPr>
    </w:p>
    <w:p w14:paraId="5A5E378D" w14:textId="459291E8" w:rsidR="00AC56A9" w:rsidRPr="00AC56A9" w:rsidRDefault="00AC56A9" w:rsidP="004F61F5">
      <w:pPr>
        <w:pStyle w:val="NormalWeb"/>
        <w:tabs>
          <w:tab w:val="center" w:pos="4419"/>
          <w:tab w:val="right" w:pos="9497"/>
        </w:tabs>
        <w:spacing w:before="0" w:beforeAutospacing="0" w:after="0" w:afterAutospacing="0" w:line="360" w:lineRule="auto"/>
        <w:contextualSpacing/>
        <w:mirrorIndents/>
        <w:jc w:val="both"/>
        <w:rPr>
          <w:rFonts w:ascii="Arial" w:hAnsi="Arial" w:cs="Arial"/>
          <w:b/>
          <w:bCs/>
        </w:rPr>
      </w:pPr>
      <w:r>
        <w:rPr>
          <w:rFonts w:ascii="Arial" w:hAnsi="Arial" w:cs="Arial"/>
          <w:b/>
          <w:bCs/>
          <w:color w:val="000000" w:themeColor="text1"/>
        </w:rPr>
        <w:t xml:space="preserve">Sentencia Sala Regional Monterrey </w:t>
      </w:r>
      <w:r w:rsidRPr="00AC56A9">
        <w:rPr>
          <w:rFonts w:ascii="Arial" w:hAnsi="Arial" w:cs="Arial"/>
          <w:b/>
          <w:bCs/>
          <w:color w:val="000000" w:themeColor="text1"/>
        </w:rPr>
        <w:t>(</w:t>
      </w:r>
      <w:r w:rsidRPr="00AC56A9">
        <w:rPr>
          <w:rFonts w:ascii="Arial" w:hAnsi="Arial" w:cs="Arial"/>
          <w:b/>
          <w:bCs/>
        </w:rPr>
        <w:t>SM-JRC-069/2019 y su acumulado SM-JRC-070/2019)</w:t>
      </w:r>
    </w:p>
    <w:p w14:paraId="22F45C95" w14:textId="77777777" w:rsidR="00AC56A9" w:rsidRPr="00AC56A9" w:rsidRDefault="00AC56A9" w:rsidP="004F61F5">
      <w:pPr>
        <w:pStyle w:val="NormalWeb"/>
        <w:tabs>
          <w:tab w:val="center" w:pos="4419"/>
          <w:tab w:val="right" w:pos="9497"/>
        </w:tabs>
        <w:spacing w:before="0" w:beforeAutospacing="0" w:after="0" w:afterAutospacing="0" w:line="360" w:lineRule="auto"/>
        <w:contextualSpacing/>
        <w:mirrorIndents/>
        <w:jc w:val="both"/>
        <w:rPr>
          <w:rFonts w:ascii="Arial" w:hAnsi="Arial" w:cs="Arial"/>
          <w:b/>
          <w:bCs/>
          <w:color w:val="000000" w:themeColor="text1"/>
        </w:rPr>
      </w:pPr>
    </w:p>
    <w:p w14:paraId="4E6A6AAA" w14:textId="51A8F8D0" w:rsidR="0080232B" w:rsidRDefault="0080232B" w:rsidP="004F61F5">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color w:val="000000" w:themeColor="text1"/>
        </w:rPr>
        <w:t xml:space="preserve">Ahora bien, en el juicio de revisión constitucional </w:t>
      </w:r>
      <w:r>
        <w:rPr>
          <w:rFonts w:ascii="Arial" w:hAnsi="Arial" w:cs="Arial"/>
          <w:bCs/>
        </w:rPr>
        <w:t>SM-JRC-069/2019 y su acumulado SM-JRC-070/2019,</w:t>
      </w:r>
      <w:r w:rsidR="00AC56A9">
        <w:rPr>
          <w:rFonts w:ascii="Arial" w:hAnsi="Arial" w:cs="Arial"/>
          <w:bCs/>
        </w:rPr>
        <w:t xml:space="preserve"> la Sala Regional Monterrey precisó que los partidos políticos que tengan </w:t>
      </w:r>
      <w:r w:rsidR="00AC56A9" w:rsidRPr="00AC56A9">
        <w:rPr>
          <w:rFonts w:ascii="Arial" w:hAnsi="Arial" w:cs="Arial"/>
          <w:bCs/>
          <w:u w:val="single"/>
        </w:rPr>
        <w:t>acceso</w:t>
      </w:r>
      <w:r w:rsidR="00AC56A9">
        <w:rPr>
          <w:rFonts w:ascii="Arial" w:hAnsi="Arial" w:cs="Arial"/>
          <w:bCs/>
        </w:rPr>
        <w:t xml:space="preserve"> al financiamiento, podrán participar en la </w:t>
      </w:r>
      <w:r w:rsidR="00AC56A9" w:rsidRPr="00AC56A9">
        <w:rPr>
          <w:rFonts w:ascii="Arial" w:hAnsi="Arial" w:cs="Arial"/>
          <w:bCs/>
          <w:u w:val="single"/>
        </w:rPr>
        <w:t>distribución</w:t>
      </w:r>
      <w:r w:rsidR="00AC56A9">
        <w:rPr>
          <w:rFonts w:ascii="Arial" w:hAnsi="Arial" w:cs="Arial"/>
          <w:bCs/>
        </w:rPr>
        <w:t xml:space="preserve"> del financiamiento público estatal, el cual se divide en dos porciones</w:t>
      </w:r>
      <w:r w:rsidR="00AC56A9">
        <w:rPr>
          <w:rStyle w:val="Refdenotaalpie"/>
          <w:rFonts w:ascii="Arial" w:hAnsi="Arial" w:cs="Arial"/>
          <w:bCs/>
        </w:rPr>
        <w:footnoteReference w:id="6"/>
      </w:r>
      <w:r w:rsidR="00AC56A9">
        <w:rPr>
          <w:rFonts w:ascii="Arial" w:hAnsi="Arial" w:cs="Arial"/>
          <w:bCs/>
        </w:rPr>
        <w:t>.</w:t>
      </w:r>
    </w:p>
    <w:p w14:paraId="1931064F" w14:textId="08CBBAE0" w:rsidR="00AC56A9" w:rsidRDefault="00AC56A9" w:rsidP="004F61F5">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0ACCE35E" w14:textId="44666997" w:rsidR="00AC56A9" w:rsidRDefault="00AC56A9" w:rsidP="004F61F5">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bCs/>
        </w:rPr>
        <w:t xml:space="preserve">La </w:t>
      </w:r>
      <w:r w:rsidRPr="00A91F31">
        <w:rPr>
          <w:rFonts w:ascii="Arial" w:hAnsi="Arial" w:cs="Arial"/>
          <w:bCs/>
          <w:u w:val="single"/>
        </w:rPr>
        <w:t>primera porción</w:t>
      </w:r>
      <w:r>
        <w:rPr>
          <w:rFonts w:ascii="Arial" w:hAnsi="Arial" w:cs="Arial"/>
          <w:bCs/>
        </w:rPr>
        <w:t xml:space="preserve"> del 40%, se distribuirá de forma igualitaria a los partidos políticos que alcanzaron el 3% del total de la votación válida emitida en la elección de gobernador, diputaciones o ayuntamientos </w:t>
      </w:r>
      <w:r>
        <w:rPr>
          <w:rFonts w:ascii="Arial" w:hAnsi="Arial" w:cs="Arial"/>
          <w:bCs/>
          <w:i/>
          <w:iCs/>
        </w:rPr>
        <w:t>indistintamente</w:t>
      </w:r>
      <w:r>
        <w:rPr>
          <w:rFonts w:ascii="Arial" w:hAnsi="Arial" w:cs="Arial"/>
          <w:bCs/>
        </w:rPr>
        <w:t xml:space="preserve"> </w:t>
      </w:r>
      <w:r>
        <w:rPr>
          <w:rFonts w:ascii="Arial" w:hAnsi="Arial" w:cs="Arial"/>
          <w:bCs/>
          <w:i/>
          <w:iCs/>
        </w:rPr>
        <w:t xml:space="preserve">del proceso electoral local anterior, </w:t>
      </w:r>
      <w:r>
        <w:rPr>
          <w:rFonts w:ascii="Arial" w:hAnsi="Arial" w:cs="Arial"/>
          <w:bCs/>
        </w:rPr>
        <w:t xml:space="preserve">es decir, la distribución igualitaria solo será para los partidos políticos que </w:t>
      </w:r>
      <w:r w:rsidRPr="00AC56A9">
        <w:rPr>
          <w:rFonts w:ascii="Arial" w:hAnsi="Arial" w:cs="Arial"/>
          <w:bCs/>
          <w:u w:val="single"/>
        </w:rPr>
        <w:t>accedan</w:t>
      </w:r>
      <w:r>
        <w:rPr>
          <w:rFonts w:ascii="Arial" w:hAnsi="Arial" w:cs="Arial"/>
          <w:bCs/>
        </w:rPr>
        <w:t xml:space="preserve"> al financiamiento público. </w:t>
      </w:r>
    </w:p>
    <w:p w14:paraId="27EDA325" w14:textId="62987B63" w:rsidR="00AC56A9" w:rsidRDefault="00AC56A9" w:rsidP="004F61F5">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0AA91869" w14:textId="120F9DF7" w:rsidR="00A91F31" w:rsidRPr="00AC56A9" w:rsidRDefault="00A91F31" w:rsidP="004F61F5">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bCs/>
        </w:rPr>
        <w:t xml:space="preserve">Por lo que hace a la </w:t>
      </w:r>
      <w:r w:rsidRPr="00A91F31">
        <w:rPr>
          <w:rFonts w:ascii="Arial" w:hAnsi="Arial" w:cs="Arial"/>
          <w:bCs/>
          <w:u w:val="single"/>
        </w:rPr>
        <w:t>segunda porción</w:t>
      </w:r>
      <w:r>
        <w:rPr>
          <w:rFonts w:ascii="Arial" w:hAnsi="Arial" w:cs="Arial"/>
          <w:bCs/>
        </w:rPr>
        <w:t xml:space="preserve">, correspondiente al 60%, se distribuirá de manera proporcional de acuerdo con el porcentaje de votos que obtuvieron en la elección de </w:t>
      </w:r>
      <w:r>
        <w:rPr>
          <w:rFonts w:ascii="Arial" w:hAnsi="Arial" w:cs="Arial"/>
          <w:b/>
        </w:rPr>
        <w:t>diputados locales inmediata anterior.</w:t>
      </w:r>
      <w:r>
        <w:rPr>
          <w:rFonts w:ascii="Arial" w:hAnsi="Arial" w:cs="Arial"/>
          <w:bCs/>
        </w:rPr>
        <w:t xml:space="preserve"> </w:t>
      </w:r>
    </w:p>
    <w:p w14:paraId="65181E36" w14:textId="694BE83D" w:rsidR="00AC56A9" w:rsidRDefault="00AC56A9" w:rsidP="004F61F5">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6451D0E1" w14:textId="67A2F846" w:rsidR="00C710DC" w:rsidRPr="00C710DC" w:rsidRDefault="002219EC" w:rsidP="002219EC">
      <w:pPr>
        <w:pStyle w:val="NormalWeb"/>
        <w:tabs>
          <w:tab w:val="right" w:pos="0"/>
        </w:tabs>
        <w:spacing w:before="0" w:beforeAutospacing="0" w:after="0" w:afterAutospacing="0" w:line="360" w:lineRule="auto"/>
        <w:contextualSpacing/>
        <w:mirrorIndents/>
        <w:jc w:val="both"/>
        <w:rPr>
          <w:rFonts w:ascii="Arial" w:hAnsi="Arial" w:cs="Arial"/>
          <w:bCs/>
        </w:rPr>
      </w:pPr>
      <w:r>
        <w:rPr>
          <w:rFonts w:ascii="Arial" w:hAnsi="Arial" w:cs="Arial"/>
          <w:b/>
        </w:rPr>
        <w:t xml:space="preserve">SÉPTIMO. </w:t>
      </w:r>
      <w:r w:rsidR="00B224E5" w:rsidRPr="006E30FA">
        <w:rPr>
          <w:rFonts w:ascii="Arial" w:hAnsi="Arial" w:cs="Arial"/>
          <w:b/>
        </w:rPr>
        <w:t>ESTUDIO DE FONDO</w:t>
      </w:r>
      <w:r w:rsidR="009D6D04" w:rsidRPr="006E30FA">
        <w:rPr>
          <w:rFonts w:ascii="Arial" w:hAnsi="Arial" w:cs="Arial"/>
          <w:b/>
        </w:rPr>
        <w:t>.</w:t>
      </w:r>
      <w:r w:rsidR="00506391" w:rsidRPr="006E30FA">
        <w:rPr>
          <w:rFonts w:ascii="Arial" w:hAnsi="Arial" w:cs="Arial"/>
          <w:b/>
        </w:rPr>
        <w:t xml:space="preserve"> </w:t>
      </w:r>
      <w:r w:rsidR="00C710DC">
        <w:rPr>
          <w:rFonts w:ascii="Arial" w:hAnsi="Arial" w:cs="Arial"/>
          <w:bCs/>
        </w:rPr>
        <w:t>Una vez que quedaron debidamente puntualizados los parámetros bajo los cuales debió actuar la autoridad responsable para definir los criterios de distribución del financiamiento a los partidos políticos, se estudiarán los agravios planteados por la parte actora.</w:t>
      </w:r>
    </w:p>
    <w:p w14:paraId="42BB75C5" w14:textId="77777777" w:rsidR="00C710DC" w:rsidRDefault="00C710DC" w:rsidP="002219EC">
      <w:pPr>
        <w:pStyle w:val="NormalWeb"/>
        <w:tabs>
          <w:tab w:val="right" w:pos="0"/>
        </w:tabs>
        <w:spacing w:before="0" w:beforeAutospacing="0" w:after="0" w:afterAutospacing="0" w:line="360" w:lineRule="auto"/>
        <w:contextualSpacing/>
        <w:mirrorIndents/>
        <w:jc w:val="both"/>
        <w:rPr>
          <w:rFonts w:ascii="Arial" w:hAnsi="Arial" w:cs="Arial"/>
          <w:b/>
        </w:rPr>
      </w:pPr>
    </w:p>
    <w:p w14:paraId="34F1376F" w14:textId="2C765CF5" w:rsidR="00B224E5" w:rsidRDefault="00C710DC" w:rsidP="002219EC">
      <w:pPr>
        <w:pStyle w:val="NormalWeb"/>
        <w:tabs>
          <w:tab w:val="right" w:pos="0"/>
        </w:tabs>
        <w:spacing w:before="0" w:beforeAutospacing="0" w:after="0" w:afterAutospacing="0" w:line="360" w:lineRule="auto"/>
        <w:contextualSpacing/>
        <w:mirrorIndents/>
        <w:jc w:val="both"/>
        <w:rPr>
          <w:rFonts w:ascii="Arial" w:hAnsi="Arial" w:cs="Arial"/>
        </w:rPr>
      </w:pPr>
      <w:r w:rsidRPr="00C710DC">
        <w:rPr>
          <w:rFonts w:ascii="Arial" w:hAnsi="Arial" w:cs="Arial"/>
          <w:bCs/>
        </w:rPr>
        <w:t>C</w:t>
      </w:r>
      <w:r w:rsidR="00175FD2" w:rsidRPr="006E30FA">
        <w:rPr>
          <w:rFonts w:ascii="Arial" w:hAnsi="Arial" w:cs="Arial"/>
          <w:bCs/>
        </w:rPr>
        <w:t xml:space="preserve">omo ya se </w:t>
      </w:r>
      <w:r>
        <w:rPr>
          <w:rFonts w:ascii="Arial" w:hAnsi="Arial" w:cs="Arial"/>
          <w:bCs/>
        </w:rPr>
        <w:t xml:space="preserve">señaló previamente, </w:t>
      </w:r>
      <w:r w:rsidR="00AF1D24" w:rsidRPr="006E30FA">
        <w:rPr>
          <w:rFonts w:ascii="Arial" w:hAnsi="Arial" w:cs="Arial"/>
          <w:bCs/>
        </w:rPr>
        <w:t xml:space="preserve">la litis se centra en </w:t>
      </w:r>
      <w:r w:rsidR="00193CE6" w:rsidRPr="006E30FA">
        <w:rPr>
          <w:rFonts w:ascii="Arial" w:hAnsi="Arial" w:cs="Arial"/>
        </w:rPr>
        <w:t xml:space="preserve">determinar </w:t>
      </w:r>
      <w:r w:rsidR="00193CE6">
        <w:rPr>
          <w:rFonts w:ascii="Arial" w:hAnsi="Arial" w:cs="Arial"/>
        </w:rPr>
        <w:t xml:space="preserve">si </w:t>
      </w:r>
      <w:r>
        <w:rPr>
          <w:rFonts w:ascii="Arial" w:hAnsi="Arial" w:cs="Arial"/>
        </w:rPr>
        <w:t xml:space="preserve">el CG consideró al PLA como partido de nueva creación </w:t>
      </w:r>
      <w:r w:rsidR="00835A02">
        <w:rPr>
          <w:rFonts w:ascii="Arial" w:hAnsi="Arial" w:cs="Arial"/>
        </w:rPr>
        <w:t xml:space="preserve">y esto es legal, </w:t>
      </w:r>
      <w:r>
        <w:rPr>
          <w:rFonts w:ascii="Arial" w:hAnsi="Arial" w:cs="Arial"/>
        </w:rPr>
        <w:t>o si, por el contrario, debió tomar en cuenta el porcentaje del 3.74% de la votación válida emitida que obtuvo en la elección de ayuntamientos del dos de junio, para la distribución del financiamiento público que le corresponde a dicho partido para el ejercicio dos mil veinte.</w:t>
      </w:r>
    </w:p>
    <w:p w14:paraId="65757040" w14:textId="77777777" w:rsidR="00FB3B51" w:rsidRDefault="00FB3B51" w:rsidP="00C710DC">
      <w:pPr>
        <w:pStyle w:val="NormalWeb"/>
        <w:tabs>
          <w:tab w:val="right" w:pos="0"/>
        </w:tabs>
        <w:spacing w:before="0" w:beforeAutospacing="0" w:after="0" w:afterAutospacing="0" w:line="360" w:lineRule="auto"/>
        <w:contextualSpacing/>
        <w:mirrorIndents/>
        <w:jc w:val="both"/>
        <w:rPr>
          <w:rFonts w:ascii="Arial" w:hAnsi="Arial" w:cs="Arial"/>
          <w:b/>
          <w:bCs/>
        </w:rPr>
      </w:pPr>
    </w:p>
    <w:p w14:paraId="044BE0F8" w14:textId="0EA3EEF6" w:rsidR="00835A02" w:rsidRPr="00835A02" w:rsidRDefault="00835A02" w:rsidP="00C710DC">
      <w:pPr>
        <w:pStyle w:val="NormalWeb"/>
        <w:tabs>
          <w:tab w:val="right" w:pos="0"/>
        </w:tabs>
        <w:spacing w:before="0" w:beforeAutospacing="0" w:after="0" w:afterAutospacing="0" w:line="360" w:lineRule="auto"/>
        <w:contextualSpacing/>
        <w:mirrorIndents/>
        <w:jc w:val="both"/>
        <w:rPr>
          <w:rFonts w:ascii="Arial" w:hAnsi="Arial" w:cs="Arial"/>
        </w:rPr>
      </w:pPr>
      <w:r w:rsidRPr="00835A02">
        <w:rPr>
          <w:rFonts w:ascii="Arial" w:hAnsi="Arial" w:cs="Arial"/>
        </w:rPr>
        <w:t xml:space="preserve">Al efecto, </w:t>
      </w:r>
      <w:r>
        <w:rPr>
          <w:rFonts w:ascii="Arial" w:hAnsi="Arial" w:cs="Arial"/>
        </w:rPr>
        <w:t>resulta pertinente tener en consideración lo que resolvió el CG en el acuerdo impugnado, en lo que atañe al presente medio de impugnación.</w:t>
      </w:r>
    </w:p>
    <w:p w14:paraId="67097B52" w14:textId="77777777" w:rsidR="00835A02" w:rsidRDefault="00835A02" w:rsidP="00C710DC">
      <w:pPr>
        <w:pStyle w:val="NormalWeb"/>
        <w:tabs>
          <w:tab w:val="right" w:pos="0"/>
        </w:tabs>
        <w:spacing w:before="0" w:beforeAutospacing="0" w:after="0" w:afterAutospacing="0" w:line="360" w:lineRule="auto"/>
        <w:contextualSpacing/>
        <w:mirrorIndents/>
        <w:jc w:val="both"/>
        <w:rPr>
          <w:rFonts w:ascii="Arial" w:hAnsi="Arial" w:cs="Arial"/>
          <w:b/>
          <w:bCs/>
        </w:rPr>
      </w:pPr>
    </w:p>
    <w:p w14:paraId="09449146" w14:textId="6E023DCB" w:rsidR="00041508" w:rsidRDefault="00041508" w:rsidP="00C710DC">
      <w:pPr>
        <w:pStyle w:val="NormalWeb"/>
        <w:tabs>
          <w:tab w:val="right" w:pos="0"/>
        </w:tabs>
        <w:spacing w:before="0" w:beforeAutospacing="0" w:after="0" w:afterAutospacing="0" w:line="360" w:lineRule="auto"/>
        <w:contextualSpacing/>
        <w:mirrorIndents/>
        <w:jc w:val="both"/>
        <w:rPr>
          <w:rFonts w:ascii="Arial" w:hAnsi="Arial" w:cs="Arial"/>
          <w:b/>
          <w:bCs/>
        </w:rPr>
      </w:pPr>
      <w:r>
        <w:rPr>
          <w:rFonts w:ascii="Arial" w:hAnsi="Arial" w:cs="Arial"/>
          <w:b/>
          <w:bCs/>
        </w:rPr>
        <w:t>Determinación del CG</w:t>
      </w:r>
      <w:r w:rsidR="002873D2">
        <w:rPr>
          <w:rStyle w:val="Refdenotaalpie"/>
          <w:rFonts w:ascii="Arial" w:hAnsi="Arial" w:cs="Arial"/>
          <w:b/>
          <w:bCs/>
        </w:rPr>
        <w:footnoteReference w:id="7"/>
      </w:r>
      <w:r>
        <w:rPr>
          <w:rFonts w:ascii="Arial" w:hAnsi="Arial" w:cs="Arial"/>
          <w:b/>
          <w:bCs/>
        </w:rPr>
        <w:t xml:space="preserve">. </w:t>
      </w:r>
    </w:p>
    <w:p w14:paraId="6F9297CD" w14:textId="65D68B81" w:rsidR="00041508" w:rsidRDefault="00041508" w:rsidP="00C710DC">
      <w:pPr>
        <w:pStyle w:val="NormalWeb"/>
        <w:tabs>
          <w:tab w:val="right" w:pos="0"/>
        </w:tabs>
        <w:spacing w:before="0" w:beforeAutospacing="0" w:after="0" w:afterAutospacing="0" w:line="360" w:lineRule="auto"/>
        <w:contextualSpacing/>
        <w:mirrorIndents/>
        <w:jc w:val="both"/>
        <w:rPr>
          <w:rFonts w:ascii="Arial" w:hAnsi="Arial" w:cs="Arial"/>
          <w:b/>
          <w:bCs/>
        </w:rPr>
      </w:pPr>
    </w:p>
    <w:p w14:paraId="3C670C76" w14:textId="25CC71C7" w:rsidR="005762E1" w:rsidRDefault="005762E1" w:rsidP="00C710DC">
      <w:pPr>
        <w:pStyle w:val="NormalWeb"/>
        <w:tabs>
          <w:tab w:val="right" w:pos="0"/>
        </w:tabs>
        <w:spacing w:before="0" w:beforeAutospacing="0" w:after="0" w:afterAutospacing="0" w:line="360" w:lineRule="auto"/>
        <w:contextualSpacing/>
        <w:mirrorIndents/>
        <w:jc w:val="both"/>
        <w:rPr>
          <w:rFonts w:ascii="Arial" w:hAnsi="Arial" w:cs="Arial"/>
        </w:rPr>
      </w:pPr>
      <w:r>
        <w:rPr>
          <w:rFonts w:ascii="Arial" w:hAnsi="Arial" w:cs="Arial"/>
        </w:rPr>
        <w:t>En los resultandos VII y XIII del acuerdo CG-53/19, el CG determinó textualmente lo siguiente:</w:t>
      </w:r>
    </w:p>
    <w:p w14:paraId="3A908496" w14:textId="47FB2258" w:rsidR="005762E1" w:rsidRDefault="005762E1" w:rsidP="00C710DC">
      <w:pPr>
        <w:pStyle w:val="NormalWeb"/>
        <w:tabs>
          <w:tab w:val="right" w:pos="0"/>
        </w:tabs>
        <w:spacing w:before="0" w:beforeAutospacing="0" w:after="0" w:afterAutospacing="0" w:line="360" w:lineRule="auto"/>
        <w:contextualSpacing/>
        <w:mirrorIndents/>
        <w:jc w:val="both"/>
        <w:rPr>
          <w:rFonts w:ascii="Arial" w:hAnsi="Arial" w:cs="Arial"/>
        </w:rPr>
      </w:pPr>
    </w:p>
    <w:p w14:paraId="41F9301C" w14:textId="64CFB58B" w:rsidR="005762E1" w:rsidRPr="005762E1" w:rsidRDefault="005762E1" w:rsidP="005762E1">
      <w:pPr>
        <w:pStyle w:val="Default"/>
        <w:jc w:val="both"/>
        <w:rPr>
          <w:rFonts w:ascii="Arial" w:hAnsi="Arial" w:cs="Arial"/>
          <w:i/>
          <w:iCs/>
          <w:sz w:val="22"/>
          <w:szCs w:val="22"/>
        </w:rPr>
      </w:pPr>
      <w:r w:rsidRPr="005762E1">
        <w:rPr>
          <w:rFonts w:ascii="Arial" w:hAnsi="Arial" w:cs="Arial"/>
          <w:b/>
          <w:bCs/>
          <w:i/>
          <w:iCs/>
          <w:sz w:val="22"/>
          <w:szCs w:val="22"/>
        </w:rPr>
        <w:t xml:space="preserve">“VII. </w:t>
      </w:r>
      <w:r w:rsidRPr="005762E1">
        <w:rPr>
          <w:rFonts w:ascii="Arial" w:hAnsi="Arial" w:cs="Arial"/>
          <w:i/>
          <w:iCs/>
          <w:sz w:val="22"/>
          <w:szCs w:val="22"/>
        </w:rPr>
        <w:t xml:space="preserve">En fecha veintisiete de abril de dos mil dieciocho, en sesión ordinaria, el Consejo General de este Instituto Estatal Electoral de Aguascalientes emitió las resoluciones identificadas con las claves alfanuméricas CG-R-16/18 y CG-R-17/18 </w:t>
      </w:r>
      <w:r w:rsidRPr="005762E1">
        <w:rPr>
          <w:rFonts w:ascii="Arial" w:hAnsi="Arial" w:cs="Arial"/>
          <w:b/>
          <w:bCs/>
          <w:i/>
          <w:iCs/>
          <w:sz w:val="22"/>
          <w:szCs w:val="22"/>
        </w:rPr>
        <w:t>mediante las cuales otorgó el registro</w:t>
      </w:r>
      <w:r w:rsidRPr="005762E1">
        <w:rPr>
          <w:rFonts w:ascii="Arial" w:hAnsi="Arial" w:cs="Arial"/>
          <w:i/>
          <w:iCs/>
          <w:sz w:val="22"/>
          <w:szCs w:val="22"/>
        </w:rPr>
        <w:t xml:space="preserve">, a la Asociación Civil "Unidos Podemos Por Aguascalientes A.C.", como Partido Político Local en Aguascalientes con la denominación "UNIDOS PODEMOS MÁS" y </w:t>
      </w:r>
      <w:r w:rsidRPr="005762E1">
        <w:rPr>
          <w:rFonts w:ascii="Arial" w:hAnsi="Arial" w:cs="Arial"/>
          <w:b/>
          <w:bCs/>
          <w:i/>
          <w:iCs/>
          <w:sz w:val="22"/>
          <w:szCs w:val="22"/>
        </w:rPr>
        <w:t xml:space="preserve">a la Asociación Civil "Somos de Aguascalientes A.C.", como Partido Político Local en Aguascalientes con la denominación "PARTIDO DE AGUASCALIENTES", actualmente “PARTIDO LIBRE DE AGUASCALIENTES”. </w:t>
      </w:r>
      <w:r>
        <w:rPr>
          <w:rFonts w:ascii="Arial" w:hAnsi="Arial" w:cs="Arial"/>
          <w:b/>
          <w:bCs/>
          <w:i/>
          <w:iCs/>
          <w:sz w:val="22"/>
          <w:szCs w:val="22"/>
        </w:rPr>
        <w:t xml:space="preserve"> </w:t>
      </w:r>
    </w:p>
    <w:p w14:paraId="15C50E14" w14:textId="77777777" w:rsidR="005762E1" w:rsidRDefault="005762E1" w:rsidP="00C710DC">
      <w:pPr>
        <w:pStyle w:val="NormalWeb"/>
        <w:tabs>
          <w:tab w:val="right" w:pos="0"/>
        </w:tabs>
        <w:spacing w:before="0" w:beforeAutospacing="0" w:after="0" w:afterAutospacing="0" w:line="360" w:lineRule="auto"/>
        <w:contextualSpacing/>
        <w:mirrorIndents/>
        <w:jc w:val="both"/>
        <w:rPr>
          <w:rFonts w:ascii="Arial" w:hAnsi="Arial" w:cs="Arial"/>
        </w:rPr>
      </w:pPr>
    </w:p>
    <w:p w14:paraId="72B2D3C3" w14:textId="712EDECE" w:rsidR="00041508" w:rsidRDefault="005762E1" w:rsidP="00C710DC">
      <w:pPr>
        <w:pStyle w:val="NormalWeb"/>
        <w:tabs>
          <w:tab w:val="right" w:pos="0"/>
        </w:tabs>
        <w:spacing w:before="0" w:beforeAutospacing="0" w:after="0" w:afterAutospacing="0" w:line="360" w:lineRule="auto"/>
        <w:contextualSpacing/>
        <w:mirrorIndents/>
        <w:jc w:val="both"/>
        <w:rPr>
          <w:rFonts w:ascii="Arial" w:hAnsi="Arial" w:cs="Arial"/>
        </w:rPr>
      </w:pPr>
      <w:r>
        <w:rPr>
          <w:rFonts w:ascii="Arial" w:hAnsi="Arial" w:cs="Arial"/>
        </w:rPr>
        <w:t>Ahora bien, e</w:t>
      </w:r>
      <w:r w:rsidR="00041508">
        <w:rPr>
          <w:rFonts w:ascii="Arial" w:hAnsi="Arial" w:cs="Arial"/>
        </w:rPr>
        <w:t xml:space="preserve">n el considerando CUARTO </w:t>
      </w:r>
      <w:r>
        <w:rPr>
          <w:rFonts w:ascii="Arial" w:hAnsi="Arial" w:cs="Arial"/>
        </w:rPr>
        <w:t xml:space="preserve">estableció: </w:t>
      </w:r>
    </w:p>
    <w:p w14:paraId="62DF179D" w14:textId="77777777" w:rsidR="00897F4E" w:rsidRDefault="00897F4E" w:rsidP="005762E1">
      <w:pPr>
        <w:pStyle w:val="NormalWeb"/>
        <w:tabs>
          <w:tab w:val="right" w:pos="0"/>
        </w:tabs>
        <w:spacing w:before="0" w:beforeAutospacing="0" w:after="0" w:afterAutospacing="0"/>
        <w:contextualSpacing/>
        <w:mirrorIndents/>
        <w:jc w:val="both"/>
        <w:rPr>
          <w:rFonts w:ascii="Arial" w:hAnsi="Arial" w:cs="Arial"/>
          <w:b/>
          <w:bCs/>
          <w:i/>
          <w:iCs/>
          <w:sz w:val="22"/>
          <w:szCs w:val="22"/>
        </w:rPr>
      </w:pPr>
    </w:p>
    <w:p w14:paraId="33E7919A" w14:textId="6F106427" w:rsidR="005762E1" w:rsidRPr="005762E1" w:rsidRDefault="005762E1" w:rsidP="005762E1">
      <w:pPr>
        <w:pStyle w:val="NormalWeb"/>
        <w:tabs>
          <w:tab w:val="right" w:pos="0"/>
        </w:tabs>
        <w:spacing w:before="0" w:beforeAutospacing="0" w:after="0" w:afterAutospacing="0"/>
        <w:contextualSpacing/>
        <w:mirrorIndents/>
        <w:jc w:val="both"/>
        <w:rPr>
          <w:rFonts w:ascii="Arial" w:hAnsi="Arial" w:cs="Arial"/>
          <w:i/>
          <w:iCs/>
          <w:sz w:val="22"/>
          <w:szCs w:val="22"/>
        </w:rPr>
      </w:pPr>
      <w:r>
        <w:rPr>
          <w:rFonts w:ascii="Arial" w:hAnsi="Arial" w:cs="Arial"/>
          <w:b/>
          <w:bCs/>
          <w:i/>
          <w:iCs/>
          <w:sz w:val="22"/>
          <w:szCs w:val="22"/>
        </w:rPr>
        <w:t>“</w:t>
      </w:r>
      <w:r w:rsidRPr="005762E1">
        <w:rPr>
          <w:rFonts w:ascii="Arial" w:hAnsi="Arial" w:cs="Arial"/>
          <w:b/>
          <w:bCs/>
          <w:i/>
          <w:iCs/>
          <w:sz w:val="22"/>
          <w:szCs w:val="22"/>
        </w:rPr>
        <w:t xml:space="preserve">CUARTO. Partidos Políticos con Acreditación o Registro ante este Consejo General. </w:t>
      </w:r>
      <w:r w:rsidRPr="005762E1">
        <w:rPr>
          <w:rFonts w:ascii="Arial" w:hAnsi="Arial" w:cs="Arial"/>
          <w:i/>
          <w:iCs/>
          <w:sz w:val="22"/>
          <w:szCs w:val="22"/>
        </w:rPr>
        <w:t xml:space="preserve">Que a la fecha del presente Acuerdo los Partidos Políticos nacionales que se encuentran debidamente acreditados ante este Consejo General, conforme a la Constitución Local y el Código, y por tanto facultados para participar en la vida política del Estado, son: </w:t>
      </w:r>
      <w:r>
        <w:rPr>
          <w:rFonts w:ascii="Arial" w:hAnsi="Arial" w:cs="Arial"/>
          <w:i/>
          <w:iCs/>
          <w:sz w:val="22"/>
          <w:szCs w:val="22"/>
        </w:rPr>
        <w:t>….</w:t>
      </w:r>
    </w:p>
    <w:p w14:paraId="422C02F1" w14:textId="77777777" w:rsidR="005762E1" w:rsidRDefault="005762E1" w:rsidP="005762E1">
      <w:pPr>
        <w:pStyle w:val="NormalWeb"/>
        <w:tabs>
          <w:tab w:val="right" w:pos="0"/>
        </w:tabs>
        <w:spacing w:before="0" w:beforeAutospacing="0" w:after="0" w:afterAutospacing="0"/>
        <w:contextualSpacing/>
        <w:mirrorIndents/>
        <w:jc w:val="both"/>
        <w:rPr>
          <w:rFonts w:ascii="Arial" w:hAnsi="Arial" w:cs="Arial"/>
          <w:i/>
          <w:iCs/>
          <w:sz w:val="22"/>
          <w:szCs w:val="22"/>
        </w:rPr>
      </w:pPr>
    </w:p>
    <w:p w14:paraId="2F7FB62E" w14:textId="0695F625" w:rsidR="005762E1" w:rsidRPr="005762E1" w:rsidRDefault="005762E1" w:rsidP="005762E1">
      <w:pPr>
        <w:pStyle w:val="NormalWeb"/>
        <w:tabs>
          <w:tab w:val="right" w:pos="0"/>
        </w:tabs>
        <w:spacing w:before="0" w:beforeAutospacing="0" w:after="0" w:afterAutospacing="0"/>
        <w:contextualSpacing/>
        <w:mirrorIndents/>
        <w:jc w:val="both"/>
        <w:rPr>
          <w:rFonts w:ascii="Arial" w:hAnsi="Arial" w:cs="Arial"/>
          <w:i/>
          <w:iCs/>
          <w:sz w:val="22"/>
          <w:szCs w:val="22"/>
        </w:rPr>
      </w:pPr>
      <w:r w:rsidRPr="005762E1">
        <w:rPr>
          <w:rFonts w:ascii="Arial" w:hAnsi="Arial" w:cs="Arial"/>
          <w:i/>
          <w:iCs/>
          <w:sz w:val="22"/>
          <w:szCs w:val="22"/>
        </w:rPr>
        <w:t xml:space="preserve">Por lo que hace a los </w:t>
      </w:r>
      <w:r w:rsidRPr="00897F4E">
        <w:rPr>
          <w:rFonts w:ascii="Arial" w:hAnsi="Arial" w:cs="Arial"/>
          <w:b/>
          <w:bCs/>
          <w:i/>
          <w:iCs/>
          <w:sz w:val="22"/>
          <w:szCs w:val="22"/>
        </w:rPr>
        <w:t>Partidos Políticos locales que cuentan con registro ante este Órgano</w:t>
      </w:r>
      <w:r w:rsidRPr="005762E1">
        <w:rPr>
          <w:rFonts w:ascii="Arial" w:hAnsi="Arial" w:cs="Arial"/>
          <w:i/>
          <w:iCs/>
          <w:sz w:val="22"/>
          <w:szCs w:val="22"/>
        </w:rPr>
        <w:t xml:space="preserve"> Superior de dirección y decisión electoral en el Estado, son: Unidos Podemos Más, </w:t>
      </w:r>
      <w:r w:rsidRPr="005762E1">
        <w:rPr>
          <w:rFonts w:ascii="Arial" w:hAnsi="Arial" w:cs="Arial"/>
          <w:b/>
          <w:bCs/>
          <w:i/>
          <w:iCs/>
          <w:sz w:val="22"/>
          <w:szCs w:val="22"/>
        </w:rPr>
        <w:t>Partido Libre de Aguascalientes</w:t>
      </w:r>
      <w:r w:rsidRPr="005762E1">
        <w:rPr>
          <w:rFonts w:ascii="Arial" w:hAnsi="Arial" w:cs="Arial"/>
          <w:i/>
          <w:iCs/>
          <w:sz w:val="22"/>
          <w:szCs w:val="22"/>
        </w:rPr>
        <w:t xml:space="preserve"> y Nueva Alianza Aguascalientes; conforme se señaló en los Resultandos VII y XIII del presente Acuerdo</w:t>
      </w:r>
      <w:r w:rsidR="00AF1570">
        <w:rPr>
          <w:rFonts w:ascii="Arial" w:hAnsi="Arial" w:cs="Arial"/>
          <w:i/>
          <w:iCs/>
          <w:sz w:val="22"/>
          <w:szCs w:val="22"/>
        </w:rPr>
        <w:t>”</w:t>
      </w:r>
      <w:r w:rsidRPr="005762E1">
        <w:rPr>
          <w:rFonts w:ascii="Arial" w:hAnsi="Arial" w:cs="Arial"/>
          <w:i/>
          <w:iCs/>
          <w:sz w:val="22"/>
          <w:szCs w:val="22"/>
        </w:rPr>
        <w:t>.</w:t>
      </w:r>
    </w:p>
    <w:p w14:paraId="2BF5798A" w14:textId="4F316075" w:rsidR="005762E1" w:rsidRDefault="005762E1" w:rsidP="00C710DC">
      <w:pPr>
        <w:pStyle w:val="NormalWeb"/>
        <w:tabs>
          <w:tab w:val="right" w:pos="0"/>
        </w:tabs>
        <w:spacing w:before="0" w:beforeAutospacing="0" w:after="0" w:afterAutospacing="0" w:line="360" w:lineRule="auto"/>
        <w:contextualSpacing/>
        <w:mirrorIndents/>
        <w:jc w:val="both"/>
        <w:rPr>
          <w:rFonts w:ascii="Arial" w:hAnsi="Arial" w:cs="Arial"/>
        </w:rPr>
      </w:pPr>
    </w:p>
    <w:p w14:paraId="344E402C" w14:textId="63FD0CD3" w:rsidR="005762E1" w:rsidRDefault="005762E1" w:rsidP="00C710DC">
      <w:pPr>
        <w:pStyle w:val="NormalWeb"/>
        <w:tabs>
          <w:tab w:val="right" w:pos="0"/>
        </w:tabs>
        <w:spacing w:before="0" w:beforeAutospacing="0" w:after="0" w:afterAutospacing="0" w:line="360" w:lineRule="auto"/>
        <w:contextualSpacing/>
        <w:mirrorIndents/>
        <w:jc w:val="both"/>
        <w:rPr>
          <w:rFonts w:ascii="Arial" w:hAnsi="Arial" w:cs="Arial"/>
        </w:rPr>
      </w:pPr>
      <w:r>
        <w:rPr>
          <w:rFonts w:ascii="Arial" w:hAnsi="Arial" w:cs="Arial"/>
        </w:rPr>
        <w:t>En el considerando OCTAVO, el CG determinó:</w:t>
      </w:r>
    </w:p>
    <w:p w14:paraId="7DE1D5B0" w14:textId="5BCFB560" w:rsidR="005762E1" w:rsidRPr="002873D2" w:rsidRDefault="005762E1" w:rsidP="00C710DC">
      <w:pPr>
        <w:pStyle w:val="NormalWeb"/>
        <w:tabs>
          <w:tab w:val="right" w:pos="0"/>
        </w:tabs>
        <w:spacing w:before="0" w:beforeAutospacing="0" w:after="0" w:afterAutospacing="0" w:line="360" w:lineRule="auto"/>
        <w:contextualSpacing/>
        <w:mirrorIndents/>
        <w:jc w:val="both"/>
        <w:rPr>
          <w:rFonts w:ascii="Arial" w:hAnsi="Arial" w:cs="Arial"/>
          <w:i/>
          <w:iCs/>
        </w:rPr>
      </w:pPr>
    </w:p>
    <w:p w14:paraId="4A6E0834" w14:textId="3BAC1114" w:rsidR="005762E1" w:rsidRPr="002873D2" w:rsidRDefault="002873D2" w:rsidP="002873D2">
      <w:pPr>
        <w:pStyle w:val="NormalWeb"/>
        <w:tabs>
          <w:tab w:val="right" w:pos="0"/>
        </w:tabs>
        <w:spacing w:before="0" w:beforeAutospacing="0" w:after="0" w:afterAutospacing="0"/>
        <w:contextualSpacing/>
        <w:mirrorIndents/>
        <w:jc w:val="both"/>
        <w:rPr>
          <w:rFonts w:ascii="Arial" w:hAnsi="Arial" w:cs="Arial"/>
          <w:b/>
          <w:bCs/>
          <w:i/>
          <w:iCs/>
          <w:sz w:val="22"/>
          <w:szCs w:val="22"/>
        </w:rPr>
      </w:pPr>
      <w:r w:rsidRPr="002873D2">
        <w:rPr>
          <w:rFonts w:ascii="Arial" w:hAnsi="Arial" w:cs="Arial"/>
          <w:b/>
          <w:bCs/>
          <w:i/>
          <w:iCs/>
          <w:sz w:val="22"/>
          <w:szCs w:val="22"/>
        </w:rPr>
        <w:t xml:space="preserve">“OCTAVO. Base para el acceso y distribución del financiamiento público local de los partidos políticos nacionales para el ejercicio dos mil veinte. </w:t>
      </w:r>
    </w:p>
    <w:p w14:paraId="49BD1C3A" w14:textId="0F4B2432" w:rsidR="002873D2" w:rsidRPr="002873D2" w:rsidRDefault="002873D2" w:rsidP="002873D2">
      <w:pPr>
        <w:pStyle w:val="NormalWeb"/>
        <w:tabs>
          <w:tab w:val="right" w:pos="0"/>
        </w:tabs>
        <w:spacing w:before="0" w:beforeAutospacing="0" w:after="0" w:afterAutospacing="0"/>
        <w:contextualSpacing/>
        <w:mirrorIndents/>
        <w:jc w:val="both"/>
        <w:rPr>
          <w:b/>
          <w:bCs/>
          <w:i/>
          <w:iCs/>
          <w:sz w:val="22"/>
          <w:szCs w:val="22"/>
        </w:rPr>
      </w:pPr>
      <w:r w:rsidRPr="002873D2">
        <w:rPr>
          <w:b/>
          <w:bCs/>
          <w:i/>
          <w:iCs/>
          <w:sz w:val="22"/>
          <w:szCs w:val="22"/>
        </w:rPr>
        <w:t>…</w:t>
      </w:r>
    </w:p>
    <w:p w14:paraId="202EC3BC" w14:textId="77777777" w:rsidR="002873D2" w:rsidRPr="002873D2" w:rsidRDefault="002873D2" w:rsidP="002873D2">
      <w:pPr>
        <w:pStyle w:val="Default"/>
        <w:jc w:val="both"/>
        <w:rPr>
          <w:rFonts w:ascii="Arial" w:hAnsi="Arial" w:cs="Arial"/>
          <w:i/>
          <w:iCs/>
          <w:sz w:val="22"/>
          <w:szCs w:val="22"/>
        </w:rPr>
      </w:pPr>
      <w:r w:rsidRPr="002873D2">
        <w:rPr>
          <w:rFonts w:ascii="Arial" w:hAnsi="Arial" w:cs="Arial"/>
          <w:i/>
          <w:iCs/>
          <w:sz w:val="22"/>
          <w:szCs w:val="22"/>
        </w:rPr>
        <w:t xml:space="preserve">Así mismo, en términos del artículo 31 del Código, el cual señala que para que un partido político local participe del reparto de recursos públicos deberá haber obtenido el tres por ciento de la V.V.E. en la elección de Gobernador, de diputados o de ayuntamientos indistintamente, del proceso electoral local anterior, </w:t>
      </w:r>
      <w:r w:rsidRPr="002873D2">
        <w:rPr>
          <w:rFonts w:ascii="Arial" w:hAnsi="Arial" w:cs="Arial"/>
          <w:b/>
          <w:bCs/>
          <w:i/>
          <w:iCs/>
          <w:sz w:val="22"/>
          <w:szCs w:val="22"/>
        </w:rPr>
        <w:t xml:space="preserve">en cuanto hace a los partidos políticos locales Unidos Podemos Más, Partido Libre de Aguascalientes y Nueva Alianza Aguascalientes, </w:t>
      </w:r>
      <w:r w:rsidRPr="002873D2">
        <w:rPr>
          <w:rFonts w:ascii="Arial" w:hAnsi="Arial" w:cs="Arial"/>
          <w:b/>
          <w:bCs/>
          <w:i/>
          <w:iCs/>
          <w:sz w:val="22"/>
          <w:szCs w:val="22"/>
        </w:rPr>
        <w:lastRenderedPageBreak/>
        <w:t xml:space="preserve">tendrán derecho a participar de la distribución de financiamiento público local </w:t>
      </w:r>
      <w:r w:rsidRPr="00897F4E">
        <w:rPr>
          <w:rFonts w:ascii="Arial" w:hAnsi="Arial" w:cs="Arial"/>
          <w:b/>
          <w:bCs/>
          <w:i/>
          <w:iCs/>
          <w:sz w:val="22"/>
          <w:szCs w:val="22"/>
          <w:u w:val="single"/>
        </w:rPr>
        <w:t>por contar con registro vigente</w:t>
      </w:r>
      <w:r w:rsidRPr="002873D2">
        <w:rPr>
          <w:rFonts w:ascii="Arial" w:hAnsi="Arial" w:cs="Arial"/>
          <w:i/>
          <w:iCs/>
          <w:sz w:val="22"/>
          <w:szCs w:val="22"/>
        </w:rPr>
        <w:t xml:space="preserve">, conforme a lo establecido en el Considerando siguiente. </w:t>
      </w:r>
    </w:p>
    <w:p w14:paraId="59B2425F" w14:textId="77777777" w:rsidR="002873D2" w:rsidRDefault="002873D2" w:rsidP="002873D2">
      <w:pPr>
        <w:pStyle w:val="Default"/>
        <w:jc w:val="both"/>
        <w:rPr>
          <w:rFonts w:ascii="Arial" w:hAnsi="Arial" w:cs="Arial"/>
          <w:i/>
          <w:iCs/>
          <w:sz w:val="22"/>
          <w:szCs w:val="22"/>
        </w:rPr>
      </w:pPr>
    </w:p>
    <w:p w14:paraId="3D17D079" w14:textId="5317F8D7" w:rsidR="002873D2" w:rsidRPr="002873D2" w:rsidRDefault="002873D2" w:rsidP="002873D2">
      <w:pPr>
        <w:pStyle w:val="Default"/>
        <w:jc w:val="both"/>
        <w:rPr>
          <w:rFonts w:ascii="Arial" w:hAnsi="Arial" w:cs="Arial"/>
          <w:i/>
          <w:iCs/>
          <w:sz w:val="22"/>
          <w:szCs w:val="22"/>
        </w:rPr>
      </w:pPr>
      <w:r w:rsidRPr="002873D2">
        <w:rPr>
          <w:rFonts w:ascii="Arial" w:hAnsi="Arial" w:cs="Arial"/>
          <w:i/>
          <w:iCs/>
          <w:sz w:val="22"/>
          <w:szCs w:val="22"/>
        </w:rPr>
        <w:t xml:space="preserve">Por otro lado, </w:t>
      </w:r>
      <w:r w:rsidRPr="002873D2">
        <w:rPr>
          <w:rFonts w:ascii="Arial" w:hAnsi="Arial" w:cs="Arial"/>
          <w:b/>
          <w:bCs/>
          <w:i/>
          <w:iCs/>
          <w:sz w:val="22"/>
          <w:szCs w:val="22"/>
        </w:rPr>
        <w:t xml:space="preserve">este Consejo General tomará de igual forma como parámetro la V.V.E. de la elección de Diputaciones celebrada en el Proceso Electoral 2017-2018 en Aguascalientes, en el que se renovó el Congreso Local en el Estado, para la </w:t>
      </w:r>
      <w:r w:rsidRPr="00897F4E">
        <w:rPr>
          <w:rFonts w:ascii="Arial" w:hAnsi="Arial" w:cs="Arial"/>
          <w:b/>
          <w:bCs/>
          <w:i/>
          <w:iCs/>
          <w:sz w:val="22"/>
          <w:szCs w:val="22"/>
          <w:u w:val="single"/>
        </w:rPr>
        <w:t>distribución</w:t>
      </w:r>
      <w:r w:rsidRPr="002873D2">
        <w:rPr>
          <w:rFonts w:ascii="Arial" w:hAnsi="Arial" w:cs="Arial"/>
          <w:b/>
          <w:bCs/>
          <w:i/>
          <w:iCs/>
          <w:sz w:val="22"/>
          <w:szCs w:val="22"/>
        </w:rPr>
        <w:t xml:space="preserve"> del financiamiento público, en sus partes igualitaria y proporcional,</w:t>
      </w:r>
      <w:r w:rsidRPr="002873D2">
        <w:rPr>
          <w:rFonts w:ascii="Arial" w:hAnsi="Arial" w:cs="Arial"/>
          <w:i/>
          <w:iCs/>
          <w:sz w:val="22"/>
          <w:szCs w:val="22"/>
        </w:rPr>
        <w:t xml:space="preserve"> a los partidos políticos correspondiente al ejercicio del año dos mil veinte, utilizando el concepto previsto en el artículo 2° del Código, donde se define la referida V.V.E. como el resultado de deducir de la suma de todos los votos depositados en las urnas, los votos nulos y los correspondientes a los candidaturas no registradas. </w:t>
      </w:r>
    </w:p>
    <w:p w14:paraId="3EE7FE3D" w14:textId="77777777" w:rsidR="002873D2" w:rsidRDefault="002873D2" w:rsidP="002873D2">
      <w:pPr>
        <w:pStyle w:val="Default"/>
        <w:jc w:val="both"/>
        <w:rPr>
          <w:rFonts w:ascii="Arial" w:hAnsi="Arial" w:cs="Arial"/>
          <w:i/>
          <w:iCs/>
          <w:sz w:val="22"/>
          <w:szCs w:val="22"/>
        </w:rPr>
      </w:pPr>
    </w:p>
    <w:p w14:paraId="55A58F3E" w14:textId="26A9106D" w:rsidR="002873D2" w:rsidRPr="002873D2" w:rsidRDefault="002873D2" w:rsidP="002873D2">
      <w:pPr>
        <w:pStyle w:val="Default"/>
        <w:jc w:val="both"/>
        <w:rPr>
          <w:rFonts w:ascii="Arial" w:hAnsi="Arial" w:cs="Arial"/>
          <w:i/>
          <w:iCs/>
          <w:sz w:val="22"/>
          <w:szCs w:val="22"/>
        </w:rPr>
      </w:pPr>
      <w:r w:rsidRPr="002873D2">
        <w:rPr>
          <w:rFonts w:ascii="Arial" w:hAnsi="Arial" w:cs="Arial"/>
          <w:b/>
          <w:bCs/>
          <w:i/>
          <w:iCs/>
          <w:sz w:val="22"/>
          <w:szCs w:val="22"/>
        </w:rPr>
        <w:t>Lo anterior, en observancia al pronunciamiento particular manifestado por el Tribunal Electoral, relativo a que la base para la distribución del financiamiento público local, es la elección del Congreso Local, tanto para la parte igualitaria, como para la de estricta proporcionalidad</w:t>
      </w:r>
      <w:r w:rsidRPr="002873D2">
        <w:rPr>
          <w:rFonts w:ascii="Arial" w:hAnsi="Arial" w:cs="Arial"/>
          <w:i/>
          <w:iCs/>
          <w:sz w:val="22"/>
          <w:szCs w:val="22"/>
        </w:rPr>
        <w:t xml:space="preserve">, contempladas en las fracciones III, IV, V y VI del artículo 33 del Código; lo anterior referido en la sentencia que atendió, y su respectivo acuerdo plenario de aclaración, en el cual se precisa que la base para la distribución del financiamiento público local, “es la elección de DIPUTADOS”. </w:t>
      </w:r>
    </w:p>
    <w:p w14:paraId="0D503690" w14:textId="77777777" w:rsidR="002873D2" w:rsidRPr="002873D2" w:rsidRDefault="002873D2" w:rsidP="002873D2">
      <w:pPr>
        <w:pStyle w:val="NormalWeb"/>
        <w:tabs>
          <w:tab w:val="right" w:pos="0"/>
        </w:tabs>
        <w:spacing w:before="0" w:beforeAutospacing="0" w:after="0" w:afterAutospacing="0"/>
        <w:contextualSpacing/>
        <w:mirrorIndents/>
        <w:jc w:val="both"/>
        <w:rPr>
          <w:rFonts w:ascii="Arial" w:hAnsi="Arial" w:cs="Arial"/>
          <w:b/>
          <w:bCs/>
          <w:i/>
          <w:iCs/>
          <w:sz w:val="22"/>
          <w:szCs w:val="22"/>
        </w:rPr>
      </w:pPr>
    </w:p>
    <w:p w14:paraId="50B84351" w14:textId="31384895" w:rsidR="002873D2" w:rsidRDefault="00AF1570" w:rsidP="002873D2">
      <w:pPr>
        <w:pStyle w:val="NormalWeb"/>
        <w:tabs>
          <w:tab w:val="right" w:pos="0"/>
        </w:tabs>
        <w:spacing w:before="0" w:beforeAutospacing="0" w:after="0" w:afterAutospacing="0"/>
        <w:contextualSpacing/>
        <w:mirrorIndents/>
        <w:jc w:val="both"/>
        <w:rPr>
          <w:rFonts w:ascii="Arial" w:hAnsi="Arial" w:cs="Arial"/>
          <w:i/>
          <w:iCs/>
          <w:sz w:val="22"/>
          <w:szCs w:val="22"/>
        </w:rPr>
      </w:pPr>
      <w:r>
        <w:rPr>
          <w:rFonts w:ascii="Arial" w:hAnsi="Arial" w:cs="Arial"/>
          <w:b/>
          <w:bCs/>
          <w:i/>
          <w:iCs/>
          <w:sz w:val="22"/>
          <w:szCs w:val="22"/>
        </w:rPr>
        <w:t>“</w:t>
      </w:r>
      <w:r w:rsidR="002873D2" w:rsidRPr="002873D2">
        <w:rPr>
          <w:rFonts w:ascii="Arial" w:hAnsi="Arial" w:cs="Arial"/>
          <w:b/>
          <w:bCs/>
          <w:i/>
          <w:iCs/>
          <w:sz w:val="22"/>
          <w:szCs w:val="22"/>
        </w:rPr>
        <w:t>NOVENO. Distribución de Financiamiento Público a los Partidos Políticos Locales con Registro Vigente ante esta Autoridad Administrativa</w:t>
      </w:r>
      <w:r w:rsidR="002873D2" w:rsidRPr="002873D2">
        <w:rPr>
          <w:rFonts w:ascii="Arial" w:hAnsi="Arial" w:cs="Arial"/>
          <w:i/>
          <w:iCs/>
          <w:sz w:val="22"/>
          <w:szCs w:val="22"/>
        </w:rPr>
        <w:t>.</w:t>
      </w:r>
    </w:p>
    <w:p w14:paraId="73A0E7A8" w14:textId="32C19E8E" w:rsidR="00897F4E" w:rsidRDefault="00897F4E" w:rsidP="002873D2">
      <w:pPr>
        <w:pStyle w:val="NormalWeb"/>
        <w:tabs>
          <w:tab w:val="right" w:pos="0"/>
        </w:tabs>
        <w:spacing w:before="0" w:beforeAutospacing="0" w:after="0" w:afterAutospacing="0"/>
        <w:contextualSpacing/>
        <w:mirrorIndents/>
        <w:jc w:val="both"/>
        <w:rPr>
          <w:rFonts w:ascii="Arial" w:hAnsi="Arial" w:cs="Arial"/>
          <w:i/>
          <w:iCs/>
          <w:sz w:val="22"/>
          <w:szCs w:val="22"/>
        </w:rPr>
      </w:pPr>
      <w:r>
        <w:rPr>
          <w:rFonts w:ascii="Arial" w:hAnsi="Arial" w:cs="Arial"/>
          <w:i/>
          <w:iCs/>
          <w:sz w:val="22"/>
          <w:szCs w:val="22"/>
        </w:rPr>
        <w:t>…</w:t>
      </w:r>
    </w:p>
    <w:p w14:paraId="0C924CDE" w14:textId="77777777" w:rsidR="00897F4E" w:rsidRPr="00897F4E" w:rsidRDefault="00897F4E" w:rsidP="00897F4E">
      <w:pPr>
        <w:pStyle w:val="Default"/>
        <w:jc w:val="both"/>
        <w:rPr>
          <w:rFonts w:ascii="Arial" w:hAnsi="Arial" w:cs="Arial"/>
          <w:i/>
          <w:iCs/>
          <w:sz w:val="22"/>
          <w:szCs w:val="22"/>
        </w:rPr>
      </w:pPr>
      <w:r w:rsidRPr="00897F4E">
        <w:rPr>
          <w:rFonts w:ascii="Arial" w:hAnsi="Arial" w:cs="Arial"/>
          <w:i/>
          <w:iCs/>
          <w:sz w:val="22"/>
          <w:szCs w:val="22"/>
        </w:rPr>
        <w:t xml:space="preserve">Toda vez que los partidos políticos locales Unidos Podemos Más, </w:t>
      </w:r>
      <w:r w:rsidRPr="00897F4E">
        <w:rPr>
          <w:rFonts w:ascii="Arial" w:hAnsi="Arial" w:cs="Arial"/>
          <w:b/>
          <w:bCs/>
          <w:i/>
          <w:iCs/>
          <w:sz w:val="22"/>
          <w:szCs w:val="22"/>
        </w:rPr>
        <w:t xml:space="preserve">Partido Libre de Aguascalientes </w:t>
      </w:r>
      <w:r w:rsidRPr="00897F4E">
        <w:rPr>
          <w:rFonts w:ascii="Arial" w:hAnsi="Arial" w:cs="Arial"/>
          <w:i/>
          <w:iCs/>
          <w:sz w:val="22"/>
          <w:szCs w:val="22"/>
        </w:rPr>
        <w:t>y Nueva Alianza Aguascalientes</w:t>
      </w:r>
      <w:r w:rsidRPr="00897F4E">
        <w:rPr>
          <w:rFonts w:ascii="Arial" w:hAnsi="Arial" w:cs="Arial"/>
          <w:b/>
          <w:bCs/>
          <w:i/>
          <w:iCs/>
          <w:sz w:val="22"/>
          <w:szCs w:val="22"/>
        </w:rPr>
        <w:t xml:space="preserve"> cuentan con registro en la entidad, debe reconocérseles el derecho a recibir financiamiento público local</w:t>
      </w:r>
      <w:r w:rsidRPr="00897F4E">
        <w:rPr>
          <w:rFonts w:ascii="Arial" w:hAnsi="Arial" w:cs="Arial"/>
          <w:i/>
          <w:iCs/>
          <w:sz w:val="22"/>
          <w:szCs w:val="22"/>
        </w:rPr>
        <w:t xml:space="preserve"> al verificarse los extremos del artículo 51, párrafo 2 de la LGPP, así como de los artículos 33, fracción IX, y 35, párrafo segundo del Código, lo anterior en cuanto a los dos primeros mencionados. </w:t>
      </w:r>
    </w:p>
    <w:p w14:paraId="705A3D9A" w14:textId="77777777" w:rsidR="00897F4E" w:rsidRDefault="00897F4E" w:rsidP="00897F4E">
      <w:pPr>
        <w:pStyle w:val="Default"/>
        <w:jc w:val="both"/>
        <w:rPr>
          <w:rFonts w:ascii="Arial" w:hAnsi="Arial" w:cs="Arial"/>
          <w:i/>
          <w:iCs/>
          <w:sz w:val="22"/>
          <w:szCs w:val="22"/>
        </w:rPr>
      </w:pPr>
    </w:p>
    <w:p w14:paraId="639B89A2" w14:textId="49A8EB5D" w:rsidR="00897F4E" w:rsidRPr="00897F4E" w:rsidRDefault="00897F4E" w:rsidP="00897F4E">
      <w:pPr>
        <w:pStyle w:val="Default"/>
        <w:jc w:val="both"/>
        <w:rPr>
          <w:rFonts w:ascii="Arial" w:hAnsi="Arial" w:cs="Arial"/>
          <w:i/>
          <w:iCs/>
          <w:sz w:val="22"/>
          <w:szCs w:val="22"/>
        </w:rPr>
      </w:pPr>
      <w:r w:rsidRPr="00897F4E">
        <w:rPr>
          <w:rFonts w:ascii="Arial" w:hAnsi="Arial" w:cs="Arial"/>
          <w:i/>
          <w:iCs/>
          <w:sz w:val="22"/>
          <w:szCs w:val="22"/>
        </w:rPr>
        <w:t xml:space="preserve">De esta manera, se le otorga vigencia al artículo 41, Base II, párrafo primero y segundo de la Constitución Federal, donde se garantiza que los partidos políticos cuenten de manera equitativa con los elementos para llevar a cabo sus actividades, así como el derecho al financiamiento público para los partidos políticos que mantengan su registro después de cada elección. </w:t>
      </w:r>
    </w:p>
    <w:p w14:paraId="29006409" w14:textId="77777777" w:rsidR="00897F4E" w:rsidRDefault="00897F4E" w:rsidP="00897F4E">
      <w:pPr>
        <w:pStyle w:val="Default"/>
        <w:jc w:val="both"/>
        <w:rPr>
          <w:rFonts w:ascii="Arial" w:hAnsi="Arial" w:cs="Arial"/>
          <w:i/>
          <w:iCs/>
          <w:sz w:val="22"/>
          <w:szCs w:val="22"/>
        </w:rPr>
      </w:pPr>
    </w:p>
    <w:p w14:paraId="60FBF367" w14:textId="50FA2F96" w:rsidR="00897F4E" w:rsidRPr="00897F4E" w:rsidRDefault="00897F4E" w:rsidP="00897F4E">
      <w:pPr>
        <w:pStyle w:val="Default"/>
        <w:jc w:val="both"/>
        <w:rPr>
          <w:rFonts w:ascii="Arial" w:hAnsi="Arial" w:cs="Arial"/>
          <w:i/>
          <w:iCs/>
          <w:sz w:val="22"/>
          <w:szCs w:val="22"/>
        </w:rPr>
      </w:pPr>
      <w:r w:rsidRPr="00897F4E">
        <w:rPr>
          <w:rFonts w:ascii="Arial" w:hAnsi="Arial" w:cs="Arial"/>
          <w:i/>
          <w:iCs/>
          <w:sz w:val="22"/>
          <w:szCs w:val="22"/>
        </w:rPr>
        <w:t xml:space="preserve">Así las cosas, a los Partidos Políticos Locales con registro vigente ante esta autoridad, se les debe dotar de un mínimo de recursos para su subsistencia, atendiendo al fin de fortalecer el régimen de partidos políticos. </w:t>
      </w:r>
    </w:p>
    <w:p w14:paraId="20C03C6D" w14:textId="77777777" w:rsidR="00897F4E" w:rsidRDefault="00897F4E" w:rsidP="00897F4E">
      <w:pPr>
        <w:pStyle w:val="NormalWeb"/>
        <w:tabs>
          <w:tab w:val="right" w:pos="0"/>
        </w:tabs>
        <w:spacing w:before="0" w:beforeAutospacing="0" w:after="0" w:afterAutospacing="0"/>
        <w:contextualSpacing/>
        <w:mirrorIndents/>
        <w:jc w:val="both"/>
        <w:rPr>
          <w:rFonts w:ascii="Arial" w:hAnsi="Arial" w:cs="Arial"/>
          <w:i/>
          <w:iCs/>
          <w:sz w:val="22"/>
          <w:szCs w:val="22"/>
        </w:rPr>
      </w:pPr>
    </w:p>
    <w:p w14:paraId="48EC6E79" w14:textId="239CC08F" w:rsidR="00897F4E" w:rsidRPr="00897F4E" w:rsidRDefault="00897F4E" w:rsidP="00897F4E">
      <w:pPr>
        <w:pStyle w:val="NormalWeb"/>
        <w:tabs>
          <w:tab w:val="right" w:pos="0"/>
        </w:tabs>
        <w:spacing w:before="0" w:beforeAutospacing="0" w:after="0" w:afterAutospacing="0"/>
        <w:contextualSpacing/>
        <w:mirrorIndents/>
        <w:jc w:val="both"/>
        <w:rPr>
          <w:rFonts w:ascii="Arial" w:hAnsi="Arial" w:cs="Arial"/>
          <w:i/>
          <w:iCs/>
          <w:sz w:val="22"/>
          <w:szCs w:val="22"/>
        </w:rPr>
      </w:pPr>
      <w:r w:rsidRPr="00897F4E">
        <w:rPr>
          <w:rFonts w:ascii="Arial" w:hAnsi="Arial" w:cs="Arial"/>
          <w:i/>
          <w:iCs/>
          <w:sz w:val="22"/>
          <w:szCs w:val="22"/>
        </w:rPr>
        <w:t xml:space="preserve">De lo expuesto anteriormente se concluye que a los Partidos Unidos Podemos Más y </w:t>
      </w:r>
      <w:r w:rsidRPr="00897F4E">
        <w:rPr>
          <w:rFonts w:ascii="Arial" w:hAnsi="Arial" w:cs="Arial"/>
          <w:b/>
          <w:bCs/>
          <w:i/>
          <w:iCs/>
          <w:sz w:val="22"/>
          <w:szCs w:val="22"/>
        </w:rPr>
        <w:t>Libre de Aguascalientes, se les deberá asignar financiamiento público local conforme a las reglas establecidas en la fracción IX del artículo 33 y segundo párrafo del artículo 35, ambos del Código; al ser la hipótesis normativa en la que se sitúan dichos institutos políticos.</w:t>
      </w:r>
      <w:r w:rsidR="00AF1570">
        <w:rPr>
          <w:rFonts w:ascii="Arial" w:hAnsi="Arial" w:cs="Arial"/>
          <w:b/>
          <w:bCs/>
          <w:i/>
          <w:iCs/>
          <w:sz w:val="22"/>
          <w:szCs w:val="22"/>
        </w:rPr>
        <w:t>”</w:t>
      </w:r>
    </w:p>
    <w:p w14:paraId="0F34EAF7" w14:textId="4B05A21D" w:rsidR="00897F4E" w:rsidRDefault="00897F4E" w:rsidP="002873D2">
      <w:pPr>
        <w:pStyle w:val="NormalWeb"/>
        <w:tabs>
          <w:tab w:val="right" w:pos="0"/>
        </w:tabs>
        <w:spacing w:before="0" w:beforeAutospacing="0" w:after="0" w:afterAutospacing="0"/>
        <w:contextualSpacing/>
        <w:mirrorIndents/>
        <w:jc w:val="both"/>
        <w:rPr>
          <w:rFonts w:ascii="Arial" w:hAnsi="Arial" w:cs="Arial"/>
          <w:i/>
          <w:iCs/>
        </w:rPr>
      </w:pPr>
    </w:p>
    <w:p w14:paraId="3C337948" w14:textId="6C0F74F7" w:rsidR="00AF1570" w:rsidRDefault="00AF1570" w:rsidP="002873D2">
      <w:pPr>
        <w:pStyle w:val="NormalWeb"/>
        <w:tabs>
          <w:tab w:val="right" w:pos="0"/>
        </w:tabs>
        <w:spacing w:before="0" w:beforeAutospacing="0" w:after="0" w:afterAutospacing="0"/>
        <w:contextualSpacing/>
        <w:mirrorIndents/>
        <w:jc w:val="both"/>
        <w:rPr>
          <w:rFonts w:ascii="Arial" w:hAnsi="Arial" w:cs="Arial"/>
        </w:rPr>
      </w:pPr>
      <w:r>
        <w:rPr>
          <w:rFonts w:ascii="Arial" w:hAnsi="Arial" w:cs="Arial"/>
        </w:rPr>
        <w:t>Finalmente, en el punto de acuerdo SEGUNDO, numeral 3 se estableció:</w:t>
      </w:r>
    </w:p>
    <w:p w14:paraId="7E479C80" w14:textId="77777777" w:rsidR="00AF1570" w:rsidRDefault="00AF1570" w:rsidP="002873D2">
      <w:pPr>
        <w:pStyle w:val="NormalWeb"/>
        <w:tabs>
          <w:tab w:val="right" w:pos="0"/>
        </w:tabs>
        <w:spacing w:before="0" w:beforeAutospacing="0" w:after="0" w:afterAutospacing="0"/>
        <w:contextualSpacing/>
        <w:mirrorIndents/>
        <w:jc w:val="both"/>
        <w:rPr>
          <w:rFonts w:ascii="Arial" w:hAnsi="Arial" w:cs="Arial"/>
        </w:rPr>
      </w:pPr>
    </w:p>
    <w:p w14:paraId="740CD7AD" w14:textId="2FEC8342" w:rsidR="00AF1570" w:rsidRPr="00AF1570" w:rsidRDefault="00AF1570" w:rsidP="00AF1570">
      <w:pPr>
        <w:pStyle w:val="NormalWeb"/>
        <w:tabs>
          <w:tab w:val="right" w:pos="0"/>
        </w:tabs>
        <w:spacing w:before="0" w:beforeAutospacing="0" w:after="0" w:afterAutospacing="0"/>
        <w:contextualSpacing/>
        <w:mirrorIndents/>
        <w:jc w:val="both"/>
        <w:rPr>
          <w:rFonts w:ascii="Arial" w:hAnsi="Arial" w:cs="Arial"/>
          <w:i/>
          <w:iCs/>
          <w:sz w:val="22"/>
          <w:szCs w:val="22"/>
        </w:rPr>
      </w:pPr>
      <w:r>
        <w:rPr>
          <w:rFonts w:ascii="Arial" w:hAnsi="Arial" w:cs="Arial"/>
          <w:b/>
          <w:bCs/>
          <w:i/>
          <w:iCs/>
          <w:sz w:val="22"/>
          <w:szCs w:val="22"/>
        </w:rPr>
        <w:t>“</w:t>
      </w:r>
      <w:r w:rsidRPr="00AF1570">
        <w:rPr>
          <w:rFonts w:ascii="Arial" w:hAnsi="Arial" w:cs="Arial"/>
          <w:b/>
          <w:bCs/>
          <w:i/>
          <w:iCs/>
          <w:sz w:val="22"/>
          <w:szCs w:val="22"/>
        </w:rPr>
        <w:t xml:space="preserve">SEGUNDO. </w:t>
      </w:r>
      <w:r w:rsidRPr="00AF1570">
        <w:rPr>
          <w:rFonts w:ascii="Arial" w:hAnsi="Arial" w:cs="Arial"/>
          <w:i/>
          <w:iCs/>
          <w:sz w:val="22"/>
          <w:szCs w:val="22"/>
        </w:rPr>
        <w:t xml:space="preserve">Este Consejo General determina los criterios que utilizará para la distribución del financiamiento público estatal a los Partidos Políticos, para su gasto ordinario y actividades específicas correspondiente al ejercicio fiscal del año dos mil veinte, en los siguientes términos: </w:t>
      </w:r>
    </w:p>
    <w:p w14:paraId="2F8410C3" w14:textId="06C51B3F" w:rsidR="00AF1570" w:rsidRPr="00AF1570" w:rsidRDefault="00AF1570" w:rsidP="00AF1570">
      <w:pPr>
        <w:pStyle w:val="Default"/>
        <w:jc w:val="both"/>
        <w:rPr>
          <w:rFonts w:ascii="Arial" w:hAnsi="Arial" w:cs="Arial"/>
          <w:i/>
          <w:iCs/>
          <w:sz w:val="22"/>
          <w:szCs w:val="22"/>
        </w:rPr>
      </w:pPr>
      <w:r>
        <w:rPr>
          <w:rFonts w:ascii="Arial" w:hAnsi="Arial" w:cs="Arial"/>
          <w:i/>
          <w:iCs/>
          <w:sz w:val="22"/>
          <w:szCs w:val="22"/>
        </w:rPr>
        <w:t>…</w:t>
      </w:r>
    </w:p>
    <w:p w14:paraId="1065640C" w14:textId="576C06E9" w:rsidR="00AF1570" w:rsidRPr="00AF1570" w:rsidRDefault="00AF1570" w:rsidP="00AF1570">
      <w:pPr>
        <w:pStyle w:val="Default"/>
        <w:jc w:val="both"/>
        <w:rPr>
          <w:rFonts w:ascii="Arial" w:hAnsi="Arial" w:cs="Arial"/>
          <w:i/>
          <w:iCs/>
          <w:sz w:val="22"/>
          <w:szCs w:val="22"/>
        </w:rPr>
      </w:pPr>
      <w:r w:rsidRPr="00AF1570">
        <w:rPr>
          <w:rFonts w:ascii="Arial" w:hAnsi="Arial" w:cs="Arial"/>
          <w:i/>
          <w:iCs/>
          <w:sz w:val="22"/>
          <w:szCs w:val="22"/>
        </w:rPr>
        <w:t xml:space="preserve">3. Los Partidos Políticos locales Unidos Podemos Más y </w:t>
      </w:r>
      <w:r w:rsidRPr="00CA43E3">
        <w:rPr>
          <w:rFonts w:ascii="Arial" w:hAnsi="Arial" w:cs="Arial"/>
          <w:b/>
          <w:bCs/>
          <w:i/>
          <w:iCs/>
          <w:sz w:val="22"/>
          <w:szCs w:val="22"/>
        </w:rPr>
        <w:t>Partido Libre de Aguascalientes</w:t>
      </w:r>
      <w:r w:rsidRPr="00AF1570">
        <w:rPr>
          <w:rFonts w:ascii="Arial" w:hAnsi="Arial" w:cs="Arial"/>
          <w:i/>
          <w:iCs/>
          <w:sz w:val="22"/>
          <w:szCs w:val="22"/>
        </w:rPr>
        <w:t xml:space="preserve">, </w:t>
      </w:r>
      <w:r w:rsidRPr="00CA43E3">
        <w:rPr>
          <w:rFonts w:ascii="Arial" w:hAnsi="Arial" w:cs="Arial"/>
          <w:b/>
          <w:bCs/>
          <w:i/>
          <w:iCs/>
          <w:sz w:val="22"/>
          <w:szCs w:val="22"/>
        </w:rPr>
        <w:t>al no haber contendido en el Proceso Electoral 2017-2018 en Aguascalientes, participarán del financiamiento público para el ejercicio dos mil veinte, como si se trataran de partidos políticos de nueva creación</w:t>
      </w:r>
      <w:r w:rsidRPr="00AF1570">
        <w:rPr>
          <w:rFonts w:ascii="Arial" w:hAnsi="Arial" w:cs="Arial"/>
          <w:i/>
          <w:iCs/>
          <w:sz w:val="22"/>
          <w:szCs w:val="22"/>
        </w:rPr>
        <w:t>, conforme a las reglas establecidas en el Código Electoral para el Estado de Aguascalientes y la Ley General de Partidos Políticos.</w:t>
      </w:r>
      <w:r>
        <w:rPr>
          <w:rFonts w:ascii="Arial" w:hAnsi="Arial" w:cs="Arial"/>
          <w:i/>
          <w:iCs/>
          <w:sz w:val="22"/>
          <w:szCs w:val="22"/>
        </w:rPr>
        <w:t>”</w:t>
      </w:r>
      <w:r w:rsidRPr="00AF1570">
        <w:rPr>
          <w:rFonts w:ascii="Arial" w:hAnsi="Arial" w:cs="Arial"/>
          <w:i/>
          <w:iCs/>
          <w:sz w:val="22"/>
          <w:szCs w:val="22"/>
        </w:rPr>
        <w:t xml:space="preserve"> </w:t>
      </w:r>
    </w:p>
    <w:p w14:paraId="3229160B" w14:textId="5C884D5D" w:rsidR="00AF1570" w:rsidRDefault="00AF1570" w:rsidP="002873D2">
      <w:pPr>
        <w:pStyle w:val="NormalWeb"/>
        <w:tabs>
          <w:tab w:val="right" w:pos="0"/>
        </w:tabs>
        <w:spacing w:before="0" w:beforeAutospacing="0" w:after="0" w:afterAutospacing="0"/>
        <w:contextualSpacing/>
        <w:mirrorIndents/>
        <w:jc w:val="both"/>
        <w:rPr>
          <w:rFonts w:ascii="Arial" w:hAnsi="Arial" w:cs="Arial"/>
        </w:rPr>
      </w:pPr>
      <w:r>
        <w:rPr>
          <w:rFonts w:ascii="Arial" w:hAnsi="Arial" w:cs="Arial"/>
        </w:rPr>
        <w:t xml:space="preserve"> </w:t>
      </w:r>
    </w:p>
    <w:p w14:paraId="61F2098D" w14:textId="1D654A1B" w:rsidR="00AF1570" w:rsidRDefault="00AF1570" w:rsidP="002873D2">
      <w:pPr>
        <w:pStyle w:val="NormalWeb"/>
        <w:tabs>
          <w:tab w:val="right" w:pos="0"/>
        </w:tabs>
        <w:spacing w:before="0" w:beforeAutospacing="0" w:after="0" w:afterAutospacing="0"/>
        <w:contextualSpacing/>
        <w:mirrorIndents/>
        <w:jc w:val="both"/>
        <w:rPr>
          <w:rFonts w:ascii="Arial" w:hAnsi="Arial" w:cs="Arial"/>
        </w:rPr>
      </w:pPr>
    </w:p>
    <w:p w14:paraId="764BE819" w14:textId="2FB45F34" w:rsidR="00041508" w:rsidRDefault="00897F4E" w:rsidP="002873D2">
      <w:pPr>
        <w:pStyle w:val="NormalWeb"/>
        <w:tabs>
          <w:tab w:val="right" w:pos="0"/>
        </w:tabs>
        <w:spacing w:before="0" w:beforeAutospacing="0" w:after="0" w:afterAutospacing="0"/>
        <w:contextualSpacing/>
        <w:mirrorIndents/>
        <w:jc w:val="both"/>
        <w:rPr>
          <w:rFonts w:ascii="Arial" w:hAnsi="Arial" w:cs="Arial"/>
        </w:rPr>
      </w:pPr>
      <w:r w:rsidRPr="00897F4E">
        <w:rPr>
          <w:rFonts w:ascii="Arial" w:hAnsi="Arial" w:cs="Arial"/>
        </w:rPr>
        <w:t xml:space="preserve">De las anteriores transcripciones, </w:t>
      </w:r>
      <w:r>
        <w:rPr>
          <w:rFonts w:ascii="Arial" w:hAnsi="Arial" w:cs="Arial"/>
        </w:rPr>
        <w:t>es posible desprender que</w:t>
      </w:r>
      <w:r w:rsidR="007A6505">
        <w:rPr>
          <w:rFonts w:ascii="Arial" w:hAnsi="Arial" w:cs="Arial"/>
        </w:rPr>
        <w:t>:</w:t>
      </w:r>
    </w:p>
    <w:p w14:paraId="77C5B101" w14:textId="76247A28" w:rsidR="00897F4E" w:rsidRDefault="00897F4E" w:rsidP="002873D2">
      <w:pPr>
        <w:pStyle w:val="NormalWeb"/>
        <w:tabs>
          <w:tab w:val="right" w:pos="0"/>
        </w:tabs>
        <w:spacing w:before="0" w:beforeAutospacing="0" w:after="0" w:afterAutospacing="0"/>
        <w:contextualSpacing/>
        <w:mirrorIndents/>
        <w:jc w:val="both"/>
        <w:rPr>
          <w:rFonts w:ascii="Arial" w:hAnsi="Arial" w:cs="Arial"/>
        </w:rPr>
      </w:pPr>
    </w:p>
    <w:p w14:paraId="706F480A" w14:textId="06D20656" w:rsidR="00897F4E" w:rsidRDefault="00897F4E" w:rsidP="00897F4E">
      <w:pPr>
        <w:pStyle w:val="NormalWeb"/>
        <w:tabs>
          <w:tab w:val="right" w:pos="0"/>
        </w:tabs>
        <w:spacing w:before="0" w:beforeAutospacing="0" w:after="0" w:afterAutospacing="0" w:line="360" w:lineRule="auto"/>
        <w:contextualSpacing/>
        <w:mirrorIndents/>
        <w:jc w:val="both"/>
        <w:rPr>
          <w:rFonts w:ascii="Arial" w:hAnsi="Arial" w:cs="Arial"/>
        </w:rPr>
      </w:pPr>
      <w:r>
        <w:rPr>
          <w:rFonts w:ascii="Arial" w:hAnsi="Arial" w:cs="Arial"/>
        </w:rPr>
        <w:t xml:space="preserve">- </w:t>
      </w:r>
      <w:r w:rsidR="007A6505">
        <w:rPr>
          <w:rFonts w:ascii="Arial" w:hAnsi="Arial" w:cs="Arial"/>
        </w:rPr>
        <w:t>E</w:t>
      </w:r>
      <w:r>
        <w:rPr>
          <w:rFonts w:ascii="Arial" w:hAnsi="Arial" w:cs="Arial"/>
        </w:rPr>
        <w:t>l</w:t>
      </w:r>
      <w:r w:rsidR="007A6505">
        <w:rPr>
          <w:rFonts w:ascii="Arial" w:hAnsi="Arial" w:cs="Arial"/>
        </w:rPr>
        <w:t xml:space="preserve"> CG precisó que</w:t>
      </w:r>
      <w:r>
        <w:rPr>
          <w:rFonts w:ascii="Arial" w:hAnsi="Arial" w:cs="Arial"/>
        </w:rPr>
        <w:t xml:space="preserve"> </w:t>
      </w:r>
      <w:r w:rsidR="002A1E5E">
        <w:rPr>
          <w:rFonts w:ascii="Arial" w:hAnsi="Arial" w:cs="Arial"/>
        </w:rPr>
        <w:t xml:space="preserve">el </w:t>
      </w:r>
      <w:r>
        <w:rPr>
          <w:rFonts w:ascii="Arial" w:hAnsi="Arial" w:cs="Arial"/>
        </w:rPr>
        <w:t>veintisiete de abril de dos mil dieciocho, otorgó el registro como partido político local al PLA.</w:t>
      </w:r>
    </w:p>
    <w:p w14:paraId="50E5C2B0" w14:textId="1E565BD9" w:rsidR="00897F4E" w:rsidRPr="00897F4E" w:rsidRDefault="00897F4E" w:rsidP="00897F4E">
      <w:pPr>
        <w:pStyle w:val="NormalWeb"/>
        <w:tabs>
          <w:tab w:val="right" w:pos="0"/>
        </w:tabs>
        <w:spacing w:before="0" w:beforeAutospacing="0" w:after="0" w:afterAutospacing="0" w:line="360" w:lineRule="auto"/>
        <w:contextualSpacing/>
        <w:mirrorIndents/>
        <w:jc w:val="both"/>
        <w:rPr>
          <w:rFonts w:ascii="Arial" w:hAnsi="Arial" w:cs="Arial"/>
        </w:rPr>
      </w:pPr>
      <w:r>
        <w:rPr>
          <w:rFonts w:ascii="Arial" w:hAnsi="Arial" w:cs="Arial"/>
        </w:rPr>
        <w:lastRenderedPageBreak/>
        <w:t xml:space="preserve">- </w:t>
      </w:r>
      <w:r w:rsidR="007A6505">
        <w:rPr>
          <w:rFonts w:ascii="Arial" w:hAnsi="Arial" w:cs="Arial"/>
        </w:rPr>
        <w:t>A</w:t>
      </w:r>
      <w:r>
        <w:rPr>
          <w:rFonts w:ascii="Arial" w:hAnsi="Arial" w:cs="Arial"/>
        </w:rPr>
        <w:t xml:space="preserve"> la fecha de emisión del acuerdo impugnado, el PLA contaba con registro </w:t>
      </w:r>
      <w:r w:rsidRPr="00897F4E">
        <w:rPr>
          <w:rFonts w:ascii="Arial" w:hAnsi="Arial" w:cs="Arial"/>
        </w:rPr>
        <w:t>vigente en la entidad.</w:t>
      </w:r>
    </w:p>
    <w:p w14:paraId="01DCF24E" w14:textId="414816AD" w:rsidR="00897F4E" w:rsidRPr="00AF1570" w:rsidRDefault="00897F4E" w:rsidP="00897F4E">
      <w:pPr>
        <w:pStyle w:val="NormalWeb"/>
        <w:tabs>
          <w:tab w:val="right" w:pos="0"/>
        </w:tabs>
        <w:spacing w:before="0" w:beforeAutospacing="0" w:after="0" w:afterAutospacing="0" w:line="360" w:lineRule="auto"/>
        <w:contextualSpacing/>
        <w:mirrorIndents/>
        <w:jc w:val="both"/>
        <w:rPr>
          <w:rFonts w:ascii="Arial" w:hAnsi="Arial" w:cs="Arial"/>
        </w:rPr>
      </w:pPr>
      <w:r w:rsidRPr="00897F4E">
        <w:rPr>
          <w:rFonts w:ascii="Arial" w:hAnsi="Arial" w:cs="Arial"/>
        </w:rPr>
        <w:t xml:space="preserve">- </w:t>
      </w:r>
      <w:r w:rsidR="007A6505">
        <w:rPr>
          <w:rFonts w:ascii="Arial" w:hAnsi="Arial" w:cs="Arial"/>
        </w:rPr>
        <w:t>E</w:t>
      </w:r>
      <w:r w:rsidRPr="00897F4E">
        <w:rPr>
          <w:rFonts w:ascii="Arial" w:hAnsi="Arial" w:cs="Arial"/>
        </w:rPr>
        <w:t xml:space="preserve">l PLA tiene derecho a participar de la distribución de financiamiento público local </w:t>
      </w:r>
      <w:r w:rsidRPr="00AF1570">
        <w:rPr>
          <w:rFonts w:ascii="Arial" w:hAnsi="Arial" w:cs="Arial"/>
        </w:rPr>
        <w:t>por contar con registro vigente.</w:t>
      </w:r>
    </w:p>
    <w:p w14:paraId="0E671B56" w14:textId="7C850082" w:rsidR="00897F4E" w:rsidRDefault="007A6505" w:rsidP="00897F4E">
      <w:pPr>
        <w:pStyle w:val="NormalWeb"/>
        <w:tabs>
          <w:tab w:val="right" w:pos="0"/>
        </w:tabs>
        <w:spacing w:before="0" w:beforeAutospacing="0" w:after="0" w:afterAutospacing="0" w:line="360" w:lineRule="auto"/>
        <w:contextualSpacing/>
        <w:mirrorIndents/>
        <w:jc w:val="both"/>
        <w:rPr>
          <w:rFonts w:ascii="Arial" w:hAnsi="Arial" w:cs="Arial"/>
        </w:rPr>
      </w:pPr>
      <w:r w:rsidRPr="00AF1570">
        <w:rPr>
          <w:rFonts w:ascii="Arial" w:hAnsi="Arial" w:cs="Arial"/>
        </w:rPr>
        <w:t xml:space="preserve">- </w:t>
      </w:r>
      <w:r w:rsidR="00582800">
        <w:rPr>
          <w:rFonts w:ascii="Arial" w:hAnsi="Arial" w:cs="Arial"/>
        </w:rPr>
        <w:t>E</w:t>
      </w:r>
      <w:r w:rsidR="00582800" w:rsidRPr="00AF1570">
        <w:rPr>
          <w:rFonts w:ascii="Arial" w:hAnsi="Arial" w:cs="Arial"/>
        </w:rPr>
        <w:t>n cumplimiento a la ejecutoria dictada por este Tribunal en el expediente TEEA-RAP-020/2019 y acumulados</w:t>
      </w:r>
      <w:r w:rsidR="00582800">
        <w:rPr>
          <w:rFonts w:ascii="Arial" w:hAnsi="Arial" w:cs="Arial"/>
        </w:rPr>
        <w:t xml:space="preserve">, el </w:t>
      </w:r>
      <w:r w:rsidRPr="00AF1570">
        <w:rPr>
          <w:rFonts w:ascii="Arial" w:hAnsi="Arial" w:cs="Arial"/>
        </w:rPr>
        <w:t xml:space="preserve">CG </w:t>
      </w:r>
      <w:r w:rsidR="00897F4E" w:rsidRPr="00AF1570">
        <w:rPr>
          <w:rFonts w:ascii="Arial" w:hAnsi="Arial" w:cs="Arial"/>
        </w:rPr>
        <w:t>tom</w:t>
      </w:r>
      <w:r w:rsidRPr="00AF1570">
        <w:rPr>
          <w:rFonts w:ascii="Arial" w:hAnsi="Arial" w:cs="Arial"/>
        </w:rPr>
        <w:t xml:space="preserve">ó </w:t>
      </w:r>
      <w:r w:rsidR="00897F4E" w:rsidRPr="00AF1570">
        <w:rPr>
          <w:rFonts w:ascii="Arial" w:hAnsi="Arial" w:cs="Arial"/>
        </w:rPr>
        <w:t xml:space="preserve">como parámetro la V.V.E. de la elección de </w:t>
      </w:r>
      <w:r w:rsidR="00AF1570" w:rsidRPr="00AF1570">
        <w:rPr>
          <w:rFonts w:ascii="Arial" w:hAnsi="Arial" w:cs="Arial"/>
        </w:rPr>
        <w:t>d</w:t>
      </w:r>
      <w:r w:rsidR="00897F4E" w:rsidRPr="00AF1570">
        <w:rPr>
          <w:rFonts w:ascii="Arial" w:hAnsi="Arial" w:cs="Arial"/>
        </w:rPr>
        <w:t xml:space="preserve">iputaciones celebrada en el </w:t>
      </w:r>
      <w:r w:rsidR="00AF1570" w:rsidRPr="00AF1570">
        <w:rPr>
          <w:rFonts w:ascii="Arial" w:hAnsi="Arial" w:cs="Arial"/>
        </w:rPr>
        <w:t>p</w:t>
      </w:r>
      <w:r w:rsidR="00897F4E" w:rsidRPr="00AF1570">
        <w:rPr>
          <w:rFonts w:ascii="Arial" w:hAnsi="Arial" w:cs="Arial"/>
        </w:rPr>
        <w:t xml:space="preserve">roceso </w:t>
      </w:r>
      <w:r w:rsidR="00AF1570" w:rsidRPr="00AF1570">
        <w:rPr>
          <w:rFonts w:ascii="Arial" w:hAnsi="Arial" w:cs="Arial"/>
        </w:rPr>
        <w:t>e</w:t>
      </w:r>
      <w:r w:rsidR="00897F4E" w:rsidRPr="00AF1570">
        <w:rPr>
          <w:rFonts w:ascii="Arial" w:hAnsi="Arial" w:cs="Arial"/>
        </w:rPr>
        <w:t xml:space="preserve">lectoral 2017-2018 en Aguascalientes, en el que se renovó el Congreso Local en el Estado, para la </w:t>
      </w:r>
      <w:r w:rsidR="00897F4E" w:rsidRPr="001A46D4">
        <w:rPr>
          <w:rFonts w:ascii="Arial" w:hAnsi="Arial" w:cs="Arial"/>
          <w:u w:val="single"/>
        </w:rPr>
        <w:t>distribución</w:t>
      </w:r>
      <w:r w:rsidR="00897F4E" w:rsidRPr="00AF1570">
        <w:rPr>
          <w:rFonts w:ascii="Arial" w:hAnsi="Arial" w:cs="Arial"/>
        </w:rPr>
        <w:t xml:space="preserve"> del financiamiento público, en sus partes igualitaria y proporciona</w:t>
      </w:r>
      <w:r w:rsidRPr="00AF1570">
        <w:rPr>
          <w:rFonts w:ascii="Arial" w:hAnsi="Arial" w:cs="Arial"/>
        </w:rPr>
        <w:t>l</w:t>
      </w:r>
      <w:r w:rsidR="00582800">
        <w:rPr>
          <w:rFonts w:ascii="Arial" w:hAnsi="Arial" w:cs="Arial"/>
        </w:rPr>
        <w:t>.</w:t>
      </w:r>
    </w:p>
    <w:p w14:paraId="249E1E95" w14:textId="654AB7BA" w:rsidR="00C03775" w:rsidRDefault="00C03775" w:rsidP="00C03775">
      <w:pPr>
        <w:pStyle w:val="NormalWeb"/>
        <w:tabs>
          <w:tab w:val="right" w:pos="0"/>
        </w:tabs>
        <w:spacing w:before="0" w:beforeAutospacing="0" w:after="0" w:afterAutospacing="0" w:line="360" w:lineRule="auto"/>
        <w:contextualSpacing/>
        <w:mirrorIndents/>
        <w:jc w:val="both"/>
        <w:rPr>
          <w:rFonts w:ascii="Arial" w:hAnsi="Arial" w:cs="Arial"/>
        </w:rPr>
      </w:pPr>
      <w:r>
        <w:rPr>
          <w:rFonts w:ascii="Arial" w:hAnsi="Arial" w:cs="Arial"/>
        </w:rPr>
        <w:t xml:space="preserve">- </w:t>
      </w:r>
      <w:r w:rsidR="001A46D4">
        <w:rPr>
          <w:rFonts w:ascii="Arial" w:hAnsi="Arial" w:cs="Arial"/>
        </w:rPr>
        <w:t>En tal orden, a</w:t>
      </w:r>
      <w:r w:rsidRPr="00C03775">
        <w:rPr>
          <w:rFonts w:ascii="Arial" w:hAnsi="Arial" w:cs="Arial"/>
        </w:rPr>
        <w:t xml:space="preserve">l PLA se </w:t>
      </w:r>
      <w:proofErr w:type="gramStart"/>
      <w:r w:rsidRPr="00C03775">
        <w:rPr>
          <w:rFonts w:ascii="Arial" w:hAnsi="Arial" w:cs="Arial"/>
        </w:rPr>
        <w:t>le</w:t>
      </w:r>
      <w:proofErr w:type="gramEnd"/>
      <w:r w:rsidR="001A46D4">
        <w:rPr>
          <w:rFonts w:ascii="Arial" w:hAnsi="Arial" w:cs="Arial"/>
        </w:rPr>
        <w:t xml:space="preserve"> asignó </w:t>
      </w:r>
      <w:r w:rsidRPr="00C03775">
        <w:rPr>
          <w:rFonts w:ascii="Arial" w:hAnsi="Arial" w:cs="Arial"/>
        </w:rPr>
        <w:t>financiamiento público local conforme a las reglas establecidas en la fracción IX</w:t>
      </w:r>
      <w:r w:rsidR="001A46D4">
        <w:rPr>
          <w:rFonts w:ascii="Arial" w:hAnsi="Arial" w:cs="Arial"/>
        </w:rPr>
        <w:t>,</w:t>
      </w:r>
      <w:r w:rsidRPr="00C03775">
        <w:rPr>
          <w:rFonts w:ascii="Arial" w:hAnsi="Arial" w:cs="Arial"/>
        </w:rPr>
        <w:t xml:space="preserve"> del artículo 33 y segundo párrafo del artículo 35, ambos del Código; al ser la hipótesis normativa en la que se sitúa.</w:t>
      </w:r>
    </w:p>
    <w:p w14:paraId="7FAEB6DA" w14:textId="4EB49D99" w:rsidR="00CA43E3" w:rsidRDefault="00CA43E3" w:rsidP="00C03775">
      <w:pPr>
        <w:pStyle w:val="NormalWeb"/>
        <w:tabs>
          <w:tab w:val="right" w:pos="0"/>
        </w:tabs>
        <w:spacing w:before="0" w:beforeAutospacing="0" w:after="0" w:afterAutospacing="0" w:line="360" w:lineRule="auto"/>
        <w:contextualSpacing/>
        <w:mirrorIndents/>
        <w:jc w:val="both"/>
        <w:rPr>
          <w:rFonts w:ascii="Arial" w:hAnsi="Arial" w:cs="Arial"/>
        </w:rPr>
      </w:pPr>
      <w:r w:rsidRPr="00CA43E3">
        <w:rPr>
          <w:rFonts w:ascii="Arial" w:hAnsi="Arial" w:cs="Arial"/>
        </w:rPr>
        <w:t xml:space="preserve">- </w:t>
      </w:r>
      <w:r>
        <w:rPr>
          <w:rFonts w:ascii="Arial" w:hAnsi="Arial" w:cs="Arial"/>
        </w:rPr>
        <w:t>Precisó que, como el PLA</w:t>
      </w:r>
      <w:r w:rsidRPr="00CA43E3">
        <w:rPr>
          <w:rFonts w:ascii="Arial" w:hAnsi="Arial" w:cs="Arial"/>
        </w:rPr>
        <w:t xml:space="preserve"> no </w:t>
      </w:r>
      <w:r>
        <w:rPr>
          <w:rFonts w:ascii="Arial" w:hAnsi="Arial" w:cs="Arial"/>
        </w:rPr>
        <w:t xml:space="preserve">contendió </w:t>
      </w:r>
      <w:r w:rsidRPr="00CA43E3">
        <w:rPr>
          <w:rFonts w:ascii="Arial" w:hAnsi="Arial" w:cs="Arial"/>
        </w:rPr>
        <w:t xml:space="preserve">en el </w:t>
      </w:r>
      <w:r>
        <w:rPr>
          <w:rFonts w:ascii="Arial" w:hAnsi="Arial" w:cs="Arial"/>
        </w:rPr>
        <w:t>p</w:t>
      </w:r>
      <w:r w:rsidRPr="00CA43E3">
        <w:rPr>
          <w:rFonts w:ascii="Arial" w:hAnsi="Arial" w:cs="Arial"/>
        </w:rPr>
        <w:t xml:space="preserve">roceso </w:t>
      </w:r>
      <w:r>
        <w:rPr>
          <w:rFonts w:ascii="Arial" w:hAnsi="Arial" w:cs="Arial"/>
        </w:rPr>
        <w:t>e</w:t>
      </w:r>
      <w:r w:rsidRPr="00CA43E3">
        <w:rPr>
          <w:rFonts w:ascii="Arial" w:hAnsi="Arial" w:cs="Arial"/>
        </w:rPr>
        <w:t>lectoral 2017-2018 en Aguascalientes</w:t>
      </w:r>
      <w:r>
        <w:rPr>
          <w:rFonts w:ascii="Arial" w:hAnsi="Arial" w:cs="Arial"/>
        </w:rPr>
        <w:t xml:space="preserve"> para la elección de diputados locales</w:t>
      </w:r>
      <w:r w:rsidRPr="00CA43E3">
        <w:rPr>
          <w:rFonts w:ascii="Arial" w:hAnsi="Arial" w:cs="Arial"/>
        </w:rPr>
        <w:t xml:space="preserve">, </w:t>
      </w:r>
      <w:r>
        <w:rPr>
          <w:rFonts w:ascii="Arial" w:hAnsi="Arial" w:cs="Arial"/>
        </w:rPr>
        <w:t xml:space="preserve">se le daría el tratamiento </w:t>
      </w:r>
      <w:r w:rsidRPr="00CA43E3">
        <w:rPr>
          <w:rFonts w:ascii="Arial" w:hAnsi="Arial" w:cs="Arial"/>
        </w:rPr>
        <w:t xml:space="preserve">como si se trataran de </w:t>
      </w:r>
      <w:r>
        <w:rPr>
          <w:rFonts w:ascii="Arial" w:hAnsi="Arial" w:cs="Arial"/>
        </w:rPr>
        <w:t xml:space="preserve">un </w:t>
      </w:r>
      <w:r w:rsidRPr="00CA43E3">
        <w:rPr>
          <w:rFonts w:ascii="Arial" w:hAnsi="Arial" w:cs="Arial"/>
        </w:rPr>
        <w:t xml:space="preserve">partido político de nueva creación, </w:t>
      </w:r>
      <w:r>
        <w:rPr>
          <w:rFonts w:ascii="Arial" w:hAnsi="Arial" w:cs="Arial"/>
        </w:rPr>
        <w:t xml:space="preserve">para </w:t>
      </w:r>
      <w:r w:rsidRPr="00CA43E3">
        <w:rPr>
          <w:rFonts w:ascii="Arial" w:hAnsi="Arial" w:cs="Arial"/>
        </w:rPr>
        <w:t xml:space="preserve">el financiamiento público para el ejercicio dos mil veinte, conforme a las reglas establecidas en el Código Electoral y la </w:t>
      </w:r>
      <w:r>
        <w:rPr>
          <w:rFonts w:ascii="Arial" w:hAnsi="Arial" w:cs="Arial"/>
        </w:rPr>
        <w:t>LGPP.</w:t>
      </w:r>
    </w:p>
    <w:p w14:paraId="03490DAC" w14:textId="77777777" w:rsidR="00C03775" w:rsidRPr="00AF1570" w:rsidRDefault="00C03775" w:rsidP="00897F4E">
      <w:pPr>
        <w:pStyle w:val="NormalWeb"/>
        <w:tabs>
          <w:tab w:val="right" w:pos="0"/>
        </w:tabs>
        <w:spacing w:before="0" w:beforeAutospacing="0" w:after="0" w:afterAutospacing="0" w:line="360" w:lineRule="auto"/>
        <w:contextualSpacing/>
        <w:mirrorIndents/>
        <w:jc w:val="both"/>
        <w:rPr>
          <w:rFonts w:ascii="Arial" w:hAnsi="Arial" w:cs="Arial"/>
        </w:rPr>
      </w:pPr>
    </w:p>
    <w:p w14:paraId="4FB2FC3B" w14:textId="6BEC1322" w:rsidR="00582800" w:rsidRDefault="00582800" w:rsidP="00C710DC">
      <w:pPr>
        <w:pStyle w:val="NormalWeb"/>
        <w:tabs>
          <w:tab w:val="right" w:pos="0"/>
        </w:tabs>
        <w:spacing w:before="0" w:beforeAutospacing="0" w:after="0" w:afterAutospacing="0" w:line="360" w:lineRule="auto"/>
        <w:contextualSpacing/>
        <w:mirrorIndents/>
        <w:jc w:val="both"/>
        <w:rPr>
          <w:rFonts w:ascii="Arial" w:hAnsi="Arial" w:cs="Arial"/>
          <w:b/>
          <w:bCs/>
        </w:rPr>
      </w:pPr>
      <w:r>
        <w:rPr>
          <w:rFonts w:ascii="Arial" w:hAnsi="Arial" w:cs="Arial"/>
          <w:b/>
          <w:bCs/>
        </w:rPr>
        <w:t>Supuestos para la asignación del financiamiento.</w:t>
      </w:r>
    </w:p>
    <w:p w14:paraId="65961AD1" w14:textId="18D91D80" w:rsidR="00582800" w:rsidRDefault="00582800" w:rsidP="00C710DC">
      <w:pPr>
        <w:pStyle w:val="NormalWeb"/>
        <w:tabs>
          <w:tab w:val="right" w:pos="0"/>
        </w:tabs>
        <w:spacing w:before="0" w:beforeAutospacing="0" w:after="0" w:afterAutospacing="0" w:line="360" w:lineRule="auto"/>
        <w:contextualSpacing/>
        <w:mirrorIndents/>
        <w:jc w:val="both"/>
        <w:rPr>
          <w:rFonts w:ascii="Arial" w:hAnsi="Arial" w:cs="Arial"/>
          <w:b/>
          <w:bCs/>
        </w:rPr>
      </w:pPr>
    </w:p>
    <w:p w14:paraId="604AA011" w14:textId="54306269" w:rsidR="00582800" w:rsidRPr="006E30FA" w:rsidRDefault="00582800" w:rsidP="00FD0F32">
      <w:pPr>
        <w:pStyle w:val="NormalWeb"/>
        <w:tabs>
          <w:tab w:val="right" w:pos="426"/>
        </w:tabs>
        <w:spacing w:before="0" w:beforeAutospacing="0" w:after="0" w:afterAutospacing="0" w:line="360" w:lineRule="auto"/>
        <w:contextualSpacing/>
        <w:mirrorIndents/>
        <w:jc w:val="both"/>
        <w:rPr>
          <w:rFonts w:ascii="Arial" w:hAnsi="Arial" w:cs="Arial"/>
          <w:color w:val="000000" w:themeColor="text1"/>
        </w:rPr>
      </w:pPr>
      <w:r>
        <w:rPr>
          <w:rFonts w:ascii="Arial" w:hAnsi="Arial" w:cs="Arial"/>
          <w:color w:val="000000" w:themeColor="text1"/>
        </w:rPr>
        <w:t xml:space="preserve">Conforme </w:t>
      </w:r>
      <w:r w:rsidR="00FD0F32">
        <w:rPr>
          <w:rFonts w:ascii="Arial" w:hAnsi="Arial" w:cs="Arial"/>
          <w:color w:val="000000" w:themeColor="text1"/>
        </w:rPr>
        <w:t xml:space="preserve">a lo que se precisó </w:t>
      </w:r>
      <w:r>
        <w:rPr>
          <w:rFonts w:ascii="Arial" w:hAnsi="Arial" w:cs="Arial"/>
          <w:color w:val="000000" w:themeColor="text1"/>
        </w:rPr>
        <w:t>en el considerando Sexto del presente fallo, en términos de</w:t>
      </w:r>
      <w:r w:rsidR="00FD0F32">
        <w:rPr>
          <w:rFonts w:ascii="Arial" w:hAnsi="Arial" w:cs="Arial"/>
          <w:color w:val="000000" w:themeColor="text1"/>
        </w:rPr>
        <w:t>l</w:t>
      </w:r>
      <w:r>
        <w:rPr>
          <w:rFonts w:ascii="Arial" w:hAnsi="Arial" w:cs="Arial"/>
          <w:color w:val="000000" w:themeColor="text1"/>
        </w:rPr>
        <w:t xml:space="preserve"> </w:t>
      </w:r>
      <w:r w:rsidRPr="006E30FA">
        <w:rPr>
          <w:rFonts w:ascii="Arial" w:hAnsi="Arial" w:cs="Arial"/>
          <w:color w:val="000000" w:themeColor="text1"/>
        </w:rPr>
        <w:t xml:space="preserve">artículo 33, fracciones </w:t>
      </w:r>
      <w:r w:rsidR="00FD0F32">
        <w:rPr>
          <w:rFonts w:ascii="Arial" w:hAnsi="Arial" w:cs="Arial"/>
          <w:color w:val="000000" w:themeColor="text1"/>
        </w:rPr>
        <w:t xml:space="preserve">IV, </w:t>
      </w:r>
      <w:r w:rsidRPr="006E30FA">
        <w:rPr>
          <w:rFonts w:ascii="Arial" w:hAnsi="Arial" w:cs="Arial"/>
          <w:color w:val="000000" w:themeColor="text1"/>
        </w:rPr>
        <w:t xml:space="preserve">V y VI, </w:t>
      </w:r>
      <w:r>
        <w:rPr>
          <w:rFonts w:ascii="Arial" w:hAnsi="Arial" w:cs="Arial"/>
          <w:color w:val="000000" w:themeColor="text1"/>
        </w:rPr>
        <w:t>del Código Electoral y a la sentencia dictada por e</w:t>
      </w:r>
      <w:r w:rsidRPr="006E30FA">
        <w:rPr>
          <w:rFonts w:ascii="Arial" w:hAnsi="Arial" w:cs="Arial"/>
          <w:color w:val="000000" w:themeColor="text1"/>
        </w:rPr>
        <w:t xml:space="preserve">ste Tribunal </w:t>
      </w:r>
      <w:r>
        <w:rPr>
          <w:rFonts w:ascii="Arial" w:hAnsi="Arial" w:cs="Arial"/>
          <w:color w:val="000000" w:themeColor="text1"/>
        </w:rPr>
        <w:t xml:space="preserve">en el expediente TEEA-RAP-020/2019 y acumulados, </w:t>
      </w:r>
      <w:r w:rsidR="00FD0F32">
        <w:rPr>
          <w:rFonts w:ascii="Arial" w:hAnsi="Arial" w:cs="Arial"/>
          <w:color w:val="000000" w:themeColor="text1"/>
        </w:rPr>
        <w:t xml:space="preserve">se otorgará financiamiento público a los partidos políticos locales que cuenten con registro vigente y que hubiese obtenido al menos un 3% de V.V.E. en la </w:t>
      </w:r>
      <w:r w:rsidRPr="00436E7D">
        <w:rPr>
          <w:rFonts w:ascii="Arial" w:hAnsi="Arial" w:cs="Arial"/>
          <w:bCs/>
        </w:rPr>
        <w:t>elección de</w:t>
      </w:r>
      <w:r w:rsidRPr="006E30FA">
        <w:rPr>
          <w:rFonts w:ascii="Arial" w:hAnsi="Arial" w:cs="Arial"/>
          <w:b/>
        </w:rPr>
        <w:t xml:space="preserve"> </w:t>
      </w:r>
      <w:r w:rsidR="00FD0F32" w:rsidRPr="00FD0F32">
        <w:rPr>
          <w:rFonts w:ascii="Arial" w:hAnsi="Arial" w:cs="Arial"/>
          <w:bCs/>
        </w:rPr>
        <w:t xml:space="preserve">gobernador o </w:t>
      </w:r>
      <w:r w:rsidRPr="00FD0F32">
        <w:rPr>
          <w:rFonts w:ascii="Arial" w:hAnsi="Arial" w:cs="Arial"/>
          <w:bCs/>
        </w:rPr>
        <w:t xml:space="preserve">diputados </w:t>
      </w:r>
      <w:r w:rsidR="00FD0F32" w:rsidRPr="00FD0F32">
        <w:rPr>
          <w:rFonts w:ascii="Arial" w:hAnsi="Arial" w:cs="Arial"/>
          <w:bCs/>
        </w:rPr>
        <w:t>locales.</w:t>
      </w:r>
    </w:p>
    <w:p w14:paraId="29EB9886" w14:textId="77777777" w:rsidR="00582800" w:rsidRPr="006E30FA" w:rsidRDefault="00582800" w:rsidP="00582800">
      <w:pPr>
        <w:pStyle w:val="NormalWeb"/>
        <w:tabs>
          <w:tab w:val="center" w:pos="284"/>
          <w:tab w:val="right" w:pos="9497"/>
        </w:tabs>
        <w:spacing w:before="0" w:beforeAutospacing="0" w:after="0" w:afterAutospacing="0" w:line="360" w:lineRule="auto"/>
        <w:contextualSpacing/>
        <w:mirrorIndents/>
        <w:jc w:val="both"/>
        <w:rPr>
          <w:rFonts w:ascii="Arial" w:hAnsi="Arial" w:cs="Arial"/>
          <w:b/>
          <w:bCs/>
          <w:color w:val="000000" w:themeColor="text1"/>
        </w:rPr>
      </w:pPr>
    </w:p>
    <w:p w14:paraId="1180FC35" w14:textId="7E9CA908" w:rsidR="00674EE8" w:rsidRDefault="00FD0F32" w:rsidP="00674EE8">
      <w:pPr>
        <w:pStyle w:val="Estilo"/>
        <w:spacing w:line="360" w:lineRule="auto"/>
      </w:pPr>
      <w:r>
        <w:rPr>
          <w:rFonts w:cs="Arial"/>
        </w:rPr>
        <w:t>Sin embargo, ese mismo dispositivo legal, en la fracción IX, establece otro supuesto para el otorgamiento de financiamiento para aquellos partidos políticos que no ha</w:t>
      </w:r>
      <w:r w:rsidR="001A46D4">
        <w:rPr>
          <w:rFonts w:cs="Arial"/>
        </w:rPr>
        <w:t>n</w:t>
      </w:r>
      <w:r>
        <w:rPr>
          <w:rFonts w:cs="Arial"/>
        </w:rPr>
        <w:t xml:space="preserve"> tenido oportunidad de participar en una elección de diputados</w:t>
      </w:r>
      <w:r w:rsidR="00F236DC">
        <w:rPr>
          <w:rFonts w:cs="Arial"/>
        </w:rPr>
        <w:t>,</w:t>
      </w:r>
      <w:r>
        <w:rPr>
          <w:rFonts w:cs="Arial"/>
        </w:rPr>
        <w:t xml:space="preserve"> por ser de reciente creación</w:t>
      </w:r>
      <w:r w:rsidR="001A46D4">
        <w:rPr>
          <w:rFonts w:cs="Arial"/>
        </w:rPr>
        <w:t xml:space="preserve">, </w:t>
      </w:r>
      <w:r w:rsidR="001A46D4" w:rsidRPr="00674EE8">
        <w:rPr>
          <w:rFonts w:cs="Arial"/>
        </w:rPr>
        <w:t>consistente en</w:t>
      </w:r>
      <w:r w:rsidR="00674EE8" w:rsidRPr="00674EE8">
        <w:rPr>
          <w:rFonts w:cs="Arial"/>
        </w:rPr>
        <w:t xml:space="preserve"> </w:t>
      </w:r>
      <w:r w:rsidR="00674EE8" w:rsidRPr="00674EE8">
        <w:t>e</w:t>
      </w:r>
      <w:r w:rsidR="00674EE8">
        <w:t xml:space="preserve">l otorgamiento del dos por ciento del monto que por financiamiento total les corresponda a los partidos políticos para el sostenimiento de sus actividades ordinarias permanentes. </w:t>
      </w:r>
    </w:p>
    <w:p w14:paraId="06BD78FF" w14:textId="63732B37" w:rsidR="00FD0F32" w:rsidRDefault="001A46D4" w:rsidP="00C710DC">
      <w:pPr>
        <w:pStyle w:val="NormalWeb"/>
        <w:tabs>
          <w:tab w:val="right" w:pos="0"/>
        </w:tabs>
        <w:spacing w:before="0" w:beforeAutospacing="0" w:after="0" w:afterAutospacing="0" w:line="360" w:lineRule="auto"/>
        <w:contextualSpacing/>
        <w:mirrorIndents/>
        <w:jc w:val="both"/>
        <w:rPr>
          <w:rFonts w:ascii="Arial" w:hAnsi="Arial" w:cs="Arial"/>
        </w:rPr>
      </w:pPr>
      <w:r w:rsidRPr="001A46D4">
        <w:rPr>
          <w:rFonts w:ascii="Arial" w:hAnsi="Arial" w:cs="Arial"/>
          <w:highlight w:val="yellow"/>
        </w:rPr>
        <w:t xml:space="preserve"> </w:t>
      </w:r>
    </w:p>
    <w:p w14:paraId="218E49B8" w14:textId="371345CB" w:rsidR="002A1E5E" w:rsidRDefault="002A1E5E"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
          <w:bCs/>
        </w:rPr>
      </w:pPr>
      <w:r>
        <w:rPr>
          <w:rFonts w:ascii="Arial" w:hAnsi="Arial" w:cs="Arial"/>
          <w:b/>
          <w:bCs/>
        </w:rPr>
        <w:t xml:space="preserve">Decisión de este Tribunal: </w:t>
      </w:r>
    </w:p>
    <w:p w14:paraId="5050283A" w14:textId="77777777" w:rsidR="002A1E5E" w:rsidRDefault="002A1E5E"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
          <w:bCs/>
        </w:rPr>
      </w:pPr>
    </w:p>
    <w:p w14:paraId="4C4D24EE" w14:textId="6AAED5E2" w:rsidR="00E971D1" w:rsidRPr="00E971D1" w:rsidRDefault="00E971D1"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
          <w:bCs/>
        </w:rPr>
      </w:pPr>
      <w:r>
        <w:rPr>
          <w:rFonts w:ascii="Arial" w:hAnsi="Arial" w:cs="Arial"/>
          <w:b/>
          <w:bCs/>
        </w:rPr>
        <w:t>Tal como lo determinó el CG, el PLA se ubica en el supuesto del artículo 33, fracción IX del Código Electoral.</w:t>
      </w:r>
    </w:p>
    <w:p w14:paraId="67FCAD90" w14:textId="77777777" w:rsidR="00E971D1" w:rsidRDefault="00E971D1"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rPr>
      </w:pPr>
    </w:p>
    <w:p w14:paraId="18FDB902" w14:textId="468E9BD2" w:rsidR="005E4D17" w:rsidRDefault="00FD0F32"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rPr>
      </w:pPr>
      <w:r>
        <w:rPr>
          <w:rFonts w:ascii="Arial" w:hAnsi="Arial" w:cs="Arial"/>
        </w:rPr>
        <w:lastRenderedPageBreak/>
        <w:t xml:space="preserve">Conforme se expuso en el </w:t>
      </w:r>
      <w:r w:rsidR="00F236DC">
        <w:rPr>
          <w:rFonts w:ascii="Arial" w:hAnsi="Arial" w:cs="Arial"/>
        </w:rPr>
        <w:t>resultando VII del acuerdo impugnado, el PLA obtuvo su registro el veintisiete de abril de dos mil dieciocho, data en la que ya se encontraba en curso el proceso electoral para la renovación de la legislatura local</w:t>
      </w:r>
      <w:r w:rsidR="005E4D17">
        <w:rPr>
          <w:rFonts w:ascii="Arial" w:hAnsi="Arial" w:cs="Arial"/>
        </w:rPr>
        <w:t>.</w:t>
      </w:r>
      <w:r w:rsidR="00F236DC">
        <w:rPr>
          <w:rStyle w:val="Refdenotaalpie"/>
          <w:rFonts w:ascii="Arial" w:hAnsi="Arial" w:cs="Arial"/>
        </w:rPr>
        <w:footnoteReference w:id="8"/>
      </w:r>
      <w:r w:rsidR="00F236DC">
        <w:rPr>
          <w:rFonts w:ascii="Arial" w:hAnsi="Arial" w:cs="Arial"/>
        </w:rPr>
        <w:t xml:space="preserve"> </w:t>
      </w:r>
    </w:p>
    <w:p w14:paraId="568D070F" w14:textId="77777777" w:rsidR="005E4D17" w:rsidRDefault="005E4D17"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rPr>
      </w:pPr>
    </w:p>
    <w:p w14:paraId="3CCEA1AF" w14:textId="5EFC09DD" w:rsidR="005E4D17" w:rsidRPr="00674EE8" w:rsidRDefault="005E4D17"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sidRPr="006E30FA">
        <w:rPr>
          <w:rFonts w:ascii="Arial" w:hAnsi="Arial" w:cs="Arial"/>
        </w:rPr>
        <w:t>Razón por la que</w:t>
      </w:r>
      <w:r>
        <w:rPr>
          <w:rFonts w:ascii="Arial" w:hAnsi="Arial" w:cs="Arial"/>
        </w:rPr>
        <w:t>,</w:t>
      </w:r>
      <w:r w:rsidRPr="006E30FA">
        <w:rPr>
          <w:rFonts w:ascii="Arial" w:hAnsi="Arial" w:cs="Arial"/>
        </w:rPr>
        <w:t xml:space="preserve"> resulta</w:t>
      </w:r>
      <w:r w:rsidR="0022436F">
        <w:rPr>
          <w:rFonts w:ascii="Arial" w:hAnsi="Arial" w:cs="Arial"/>
        </w:rPr>
        <w:t>ba</w:t>
      </w:r>
      <w:r w:rsidRPr="006E30FA">
        <w:rPr>
          <w:rFonts w:ascii="Arial" w:hAnsi="Arial" w:cs="Arial"/>
        </w:rPr>
        <w:t xml:space="preserve"> formal y materialmente imposible que </w:t>
      </w:r>
      <w:r>
        <w:rPr>
          <w:rFonts w:ascii="Arial" w:hAnsi="Arial" w:cs="Arial"/>
        </w:rPr>
        <w:t>dicho</w:t>
      </w:r>
      <w:r w:rsidRPr="006E30FA">
        <w:rPr>
          <w:rFonts w:ascii="Arial" w:hAnsi="Arial" w:cs="Arial"/>
        </w:rPr>
        <w:t xml:space="preserve"> instituto político pudiese participar en el proceso electoral 2017-2018</w:t>
      </w:r>
      <w:r>
        <w:rPr>
          <w:rFonts w:ascii="Arial" w:hAnsi="Arial" w:cs="Arial"/>
        </w:rPr>
        <w:t>,</w:t>
      </w:r>
      <w:r w:rsidRPr="006E30FA">
        <w:rPr>
          <w:rFonts w:ascii="Arial" w:hAnsi="Arial" w:cs="Arial"/>
        </w:rPr>
        <w:t xml:space="preserve"> donde se renovó el Congreso del Estado, toda vez que obtuvo su calidad de partido político local en una temporalidad posterior </w:t>
      </w:r>
      <w:r w:rsidRPr="00674EE8">
        <w:rPr>
          <w:rFonts w:ascii="Arial" w:hAnsi="Arial" w:cs="Arial"/>
        </w:rPr>
        <w:t>a la indicada por el Código Electoral para participar en ese proceso electoral</w:t>
      </w:r>
      <w:r w:rsidRPr="00674EE8">
        <w:rPr>
          <w:rFonts w:ascii="Arial" w:hAnsi="Arial" w:cs="Arial"/>
          <w:color w:val="000000" w:themeColor="text1"/>
        </w:rPr>
        <w:t xml:space="preserve">, en consecuencia, </w:t>
      </w:r>
      <w:r w:rsidRPr="00674EE8">
        <w:rPr>
          <w:rFonts w:ascii="Arial" w:hAnsi="Arial" w:cs="Arial"/>
          <w:bCs/>
        </w:rPr>
        <w:t>no se actualiza el supuesto previsto en el artículo 33, fracción V</w:t>
      </w:r>
      <w:r w:rsidR="001A46D4" w:rsidRPr="00674EE8">
        <w:rPr>
          <w:rFonts w:ascii="Arial" w:hAnsi="Arial" w:cs="Arial"/>
          <w:bCs/>
        </w:rPr>
        <w:t>,</w:t>
      </w:r>
      <w:r w:rsidRPr="00674EE8">
        <w:rPr>
          <w:rFonts w:ascii="Arial" w:hAnsi="Arial" w:cs="Arial"/>
          <w:bCs/>
        </w:rPr>
        <w:t xml:space="preserve"> del Código Electoral</w:t>
      </w:r>
      <w:r w:rsidR="001A46D4" w:rsidRPr="00674EE8">
        <w:rPr>
          <w:rFonts w:ascii="Arial" w:hAnsi="Arial" w:cs="Arial"/>
          <w:bCs/>
        </w:rPr>
        <w:t>,</w:t>
      </w:r>
      <w:r w:rsidRPr="00674EE8">
        <w:rPr>
          <w:rFonts w:ascii="Arial" w:hAnsi="Arial" w:cs="Arial"/>
          <w:bCs/>
        </w:rPr>
        <w:t xml:space="preserve"> para la obtención del financiamiento público local</w:t>
      </w:r>
      <w:r w:rsidR="001A46D4" w:rsidRPr="00674EE8">
        <w:rPr>
          <w:rFonts w:ascii="Arial" w:hAnsi="Arial" w:cs="Arial"/>
          <w:bCs/>
        </w:rPr>
        <w:t>, pues</w:t>
      </w:r>
      <w:r w:rsidR="00674EE8" w:rsidRPr="00674EE8">
        <w:rPr>
          <w:rFonts w:ascii="Arial" w:hAnsi="Arial" w:cs="Arial"/>
          <w:bCs/>
        </w:rPr>
        <w:t>to que no participó y</w:t>
      </w:r>
      <w:r w:rsidR="00BA78BE">
        <w:rPr>
          <w:rFonts w:ascii="Arial" w:hAnsi="Arial" w:cs="Arial"/>
          <w:bCs/>
        </w:rPr>
        <w:t>,</w:t>
      </w:r>
      <w:r w:rsidR="00674EE8" w:rsidRPr="00674EE8">
        <w:rPr>
          <w:rFonts w:ascii="Arial" w:hAnsi="Arial" w:cs="Arial"/>
          <w:bCs/>
        </w:rPr>
        <w:t xml:space="preserve"> por ende</w:t>
      </w:r>
      <w:r w:rsidR="00BA78BE">
        <w:rPr>
          <w:rFonts w:ascii="Arial" w:hAnsi="Arial" w:cs="Arial"/>
          <w:bCs/>
        </w:rPr>
        <w:t>,</w:t>
      </w:r>
      <w:r w:rsidR="00674EE8" w:rsidRPr="00674EE8">
        <w:rPr>
          <w:rFonts w:ascii="Arial" w:hAnsi="Arial" w:cs="Arial"/>
          <w:bCs/>
        </w:rPr>
        <w:t xml:space="preserve"> no obtuvo votación alguna </w:t>
      </w:r>
      <w:r w:rsidR="00674EE8" w:rsidRPr="00674EE8">
        <w:rPr>
          <w:rFonts w:ascii="Arial" w:hAnsi="Arial" w:cs="Arial"/>
        </w:rPr>
        <w:t>en la elección de diputados locales inmediata anterior.</w:t>
      </w:r>
    </w:p>
    <w:p w14:paraId="2BC1CC25" w14:textId="77777777" w:rsidR="005E4D17" w:rsidRPr="00674EE8" w:rsidRDefault="005E4D17"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1A2671A7" w14:textId="336E016B" w:rsidR="002B4170" w:rsidRDefault="002B4170"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bCs/>
        </w:rPr>
        <w:t xml:space="preserve">No obstante, </w:t>
      </w:r>
      <w:r w:rsidR="002A1E5E">
        <w:rPr>
          <w:rFonts w:ascii="Arial" w:hAnsi="Arial" w:cs="Arial"/>
          <w:bCs/>
        </w:rPr>
        <w:t xml:space="preserve">como ya se expuso, </w:t>
      </w:r>
      <w:r w:rsidR="0022436F">
        <w:rPr>
          <w:rFonts w:ascii="Arial" w:hAnsi="Arial" w:cs="Arial"/>
          <w:bCs/>
        </w:rPr>
        <w:t xml:space="preserve">al contar con registro vigente, </w:t>
      </w:r>
      <w:r w:rsidR="001A46D4">
        <w:rPr>
          <w:rFonts w:ascii="Arial" w:hAnsi="Arial" w:cs="Arial"/>
          <w:bCs/>
        </w:rPr>
        <w:t xml:space="preserve">se estimó que tenía </w:t>
      </w:r>
      <w:r w:rsidR="0022436F">
        <w:rPr>
          <w:rFonts w:ascii="Arial" w:hAnsi="Arial" w:cs="Arial"/>
          <w:bCs/>
        </w:rPr>
        <w:t xml:space="preserve">derecho al </w:t>
      </w:r>
      <w:r w:rsidR="0022436F" w:rsidRPr="0022436F">
        <w:rPr>
          <w:rFonts w:ascii="Arial" w:hAnsi="Arial" w:cs="Arial"/>
          <w:bCs/>
          <w:u w:val="single"/>
        </w:rPr>
        <w:t>acceso</w:t>
      </w:r>
      <w:r w:rsidR="0022436F">
        <w:rPr>
          <w:rFonts w:ascii="Arial" w:hAnsi="Arial" w:cs="Arial"/>
          <w:bCs/>
        </w:rPr>
        <w:t xml:space="preserve"> a la distribución del financiamiento</w:t>
      </w:r>
      <w:r>
        <w:rPr>
          <w:rFonts w:ascii="Arial" w:hAnsi="Arial" w:cs="Arial"/>
          <w:bCs/>
        </w:rPr>
        <w:t xml:space="preserve"> para el año dos mil veinte.</w:t>
      </w:r>
    </w:p>
    <w:p w14:paraId="4A0FE756" w14:textId="77777777" w:rsidR="002B4170" w:rsidRDefault="002B4170"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6BAED6B0" w14:textId="5B189085" w:rsidR="005E4D17" w:rsidRDefault="002B4170"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bCs/>
        </w:rPr>
        <w:t xml:space="preserve">En tal sentido, a virtud de </w:t>
      </w:r>
      <w:r w:rsidR="001A46D4">
        <w:rPr>
          <w:rFonts w:ascii="Arial" w:hAnsi="Arial" w:cs="Arial"/>
          <w:bCs/>
        </w:rPr>
        <w:t>eso</w:t>
      </w:r>
      <w:r>
        <w:rPr>
          <w:rFonts w:ascii="Arial" w:hAnsi="Arial" w:cs="Arial"/>
          <w:bCs/>
        </w:rPr>
        <w:t>, no tuvo oportunidad de contender en la elección del congreso local y</w:t>
      </w:r>
      <w:r w:rsidR="002A1E5E">
        <w:rPr>
          <w:rFonts w:ascii="Arial" w:hAnsi="Arial" w:cs="Arial"/>
          <w:bCs/>
        </w:rPr>
        <w:t>, por ende,</w:t>
      </w:r>
      <w:r>
        <w:rPr>
          <w:rFonts w:ascii="Arial" w:hAnsi="Arial" w:cs="Arial"/>
          <w:bCs/>
        </w:rPr>
        <w:t xml:space="preserve"> no cuenta con representación en el Congreso del Estado, </w:t>
      </w:r>
      <w:r w:rsidR="002A1E5E">
        <w:rPr>
          <w:rFonts w:ascii="Arial" w:hAnsi="Arial" w:cs="Arial"/>
          <w:bCs/>
        </w:rPr>
        <w:t xml:space="preserve">por lo que </w:t>
      </w:r>
      <w:r w:rsidR="005E4D17">
        <w:rPr>
          <w:rFonts w:ascii="Arial" w:hAnsi="Arial" w:cs="Arial"/>
          <w:bCs/>
        </w:rPr>
        <w:t xml:space="preserve">se ubica en el supuesto de la fracción IX del </w:t>
      </w:r>
      <w:r>
        <w:rPr>
          <w:rFonts w:ascii="Arial" w:hAnsi="Arial" w:cs="Arial"/>
          <w:bCs/>
        </w:rPr>
        <w:t>artículo 33 del Código Electoral</w:t>
      </w:r>
      <w:r w:rsidR="005E4D17">
        <w:rPr>
          <w:rFonts w:ascii="Arial" w:hAnsi="Arial" w:cs="Arial"/>
          <w:bCs/>
        </w:rPr>
        <w:t xml:space="preserve">, para </w:t>
      </w:r>
      <w:r w:rsidR="005E4D17" w:rsidRPr="006E30FA">
        <w:rPr>
          <w:rFonts w:ascii="Arial" w:hAnsi="Arial" w:cs="Arial"/>
          <w:bCs/>
        </w:rPr>
        <w:t>acceder a prerrogativas y ser considerado para la distribución del financiamiento público para gasto ordinari</w:t>
      </w:r>
      <w:r w:rsidR="005E4D17">
        <w:rPr>
          <w:rFonts w:ascii="Arial" w:hAnsi="Arial" w:cs="Arial"/>
          <w:bCs/>
        </w:rPr>
        <w:t>o</w:t>
      </w:r>
      <w:r>
        <w:rPr>
          <w:rFonts w:ascii="Arial" w:hAnsi="Arial" w:cs="Arial"/>
          <w:bCs/>
        </w:rPr>
        <w:t>.</w:t>
      </w:r>
    </w:p>
    <w:p w14:paraId="19DA39F5" w14:textId="63EE319C" w:rsidR="0022436F" w:rsidRPr="0022436F" w:rsidRDefault="0022436F"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43F2240F" w14:textId="1E40DD76" w:rsidR="0022436F" w:rsidRPr="0022436F" w:rsidRDefault="0022436F"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sidRPr="0022436F">
        <w:rPr>
          <w:rFonts w:ascii="Arial" w:hAnsi="Arial" w:cs="Arial"/>
        </w:rPr>
        <w:t xml:space="preserve">Es decir, el PLA se ubica en la modalidad de </w:t>
      </w:r>
      <w:r w:rsidRPr="000F54A3">
        <w:rPr>
          <w:rFonts w:ascii="Arial" w:hAnsi="Arial" w:cs="Arial"/>
          <w:b/>
          <w:bCs/>
        </w:rPr>
        <w:t>partido de</w:t>
      </w:r>
      <w:r w:rsidRPr="0022436F">
        <w:rPr>
          <w:rFonts w:ascii="Arial" w:hAnsi="Arial" w:cs="Arial"/>
        </w:rPr>
        <w:t xml:space="preserve"> </w:t>
      </w:r>
      <w:r w:rsidRPr="000F54A3">
        <w:rPr>
          <w:rFonts w:ascii="Arial" w:hAnsi="Arial" w:cs="Arial"/>
          <w:b/>
          <w:bCs/>
        </w:rPr>
        <w:t>nueva creación</w:t>
      </w:r>
      <w:r w:rsidRPr="0022436F">
        <w:rPr>
          <w:rFonts w:ascii="Arial" w:hAnsi="Arial" w:cs="Arial"/>
        </w:rPr>
        <w:t xml:space="preserve"> </w:t>
      </w:r>
      <w:r w:rsidRPr="0022436F">
        <w:rPr>
          <w:rFonts w:ascii="Arial" w:hAnsi="Arial" w:cs="Arial"/>
          <w:b/>
          <w:bCs/>
        </w:rPr>
        <w:t>equiparado</w:t>
      </w:r>
      <w:r w:rsidRPr="0022436F">
        <w:rPr>
          <w:rFonts w:ascii="Arial" w:hAnsi="Arial" w:cs="Arial"/>
        </w:rPr>
        <w:t xml:space="preserve"> por: a) haber conservado </w:t>
      </w:r>
      <w:r>
        <w:rPr>
          <w:rFonts w:ascii="Arial" w:hAnsi="Arial" w:cs="Arial"/>
        </w:rPr>
        <w:t>(</w:t>
      </w:r>
      <w:r w:rsidRPr="0022436F">
        <w:rPr>
          <w:rFonts w:ascii="Arial" w:hAnsi="Arial" w:cs="Arial"/>
        </w:rPr>
        <w:t>o no perdido</w:t>
      </w:r>
      <w:r>
        <w:rPr>
          <w:rFonts w:ascii="Arial" w:hAnsi="Arial" w:cs="Arial"/>
        </w:rPr>
        <w:t>)</w:t>
      </w:r>
      <w:r w:rsidRPr="0022436F">
        <w:rPr>
          <w:rFonts w:ascii="Arial" w:hAnsi="Arial" w:cs="Arial"/>
        </w:rPr>
        <w:t xml:space="preserve"> el registro conforme a lo dispuesto por el artículo 116 de la constitución, y b) porque al momento en que obtuvo su registro, era formal y materialmente imposible que pudiese participar en el proceso donde se renovó el Congreso del Estado.</w:t>
      </w:r>
    </w:p>
    <w:p w14:paraId="402BB9CF" w14:textId="6884019B" w:rsidR="00E971D1" w:rsidRDefault="00E971D1"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2B3E751F" w14:textId="179ACF0E" w:rsidR="00E971D1" w:rsidRDefault="001A46D4"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bCs/>
        </w:rPr>
        <w:t>Así pues</w:t>
      </w:r>
      <w:r w:rsidR="00E971D1">
        <w:rPr>
          <w:rFonts w:ascii="Arial" w:hAnsi="Arial" w:cs="Arial"/>
          <w:bCs/>
        </w:rPr>
        <w:t>, fue correcta la determinación del CG contenida en el acuerdo impugnado</w:t>
      </w:r>
      <w:r>
        <w:rPr>
          <w:rFonts w:ascii="Arial" w:hAnsi="Arial" w:cs="Arial"/>
          <w:bCs/>
        </w:rPr>
        <w:t xml:space="preserve">, en razón de que si bien, ciertamente, no se trata de un partido político de nueva creación, lo cierto es que sus circunstancias </w:t>
      </w:r>
      <w:r w:rsidR="00FF510E">
        <w:rPr>
          <w:rFonts w:ascii="Arial" w:hAnsi="Arial" w:cs="Arial"/>
          <w:bCs/>
        </w:rPr>
        <w:t>para efectos de la distribución de financiamiento se equiparan a aquéllos</w:t>
      </w:r>
      <w:r w:rsidR="00E971D1">
        <w:rPr>
          <w:rFonts w:ascii="Arial" w:hAnsi="Arial" w:cs="Arial"/>
          <w:bCs/>
        </w:rPr>
        <w:t>.</w:t>
      </w:r>
    </w:p>
    <w:p w14:paraId="2906081B" w14:textId="6771BA3D" w:rsidR="00FF510E" w:rsidRDefault="00FF510E"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1102AC7A" w14:textId="544876CA" w:rsidR="00FF510E" w:rsidRPr="00FF510E" w:rsidRDefault="00FF510E"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bCs/>
        </w:rPr>
        <w:t xml:space="preserve">Es decir, el PLA, conforme al artículo 31 del Código Electoral, tenía derecho a </w:t>
      </w:r>
      <w:r>
        <w:rPr>
          <w:rFonts w:ascii="Arial" w:hAnsi="Arial" w:cs="Arial"/>
          <w:bCs/>
          <w:u w:val="single"/>
        </w:rPr>
        <w:t>acceder</w:t>
      </w:r>
      <w:r>
        <w:rPr>
          <w:rFonts w:ascii="Arial" w:hAnsi="Arial" w:cs="Arial"/>
          <w:bCs/>
        </w:rPr>
        <w:t xml:space="preserve"> a recursos públicos al haber obtenido una votación válida emitida superior al 3% (3.74%) en la última elección, pero no existía posibilidad de </w:t>
      </w:r>
      <w:r>
        <w:rPr>
          <w:rFonts w:ascii="Arial" w:hAnsi="Arial" w:cs="Arial"/>
          <w:bCs/>
          <w:u w:val="single"/>
        </w:rPr>
        <w:t>distribuirle</w:t>
      </w:r>
      <w:r>
        <w:rPr>
          <w:rFonts w:ascii="Arial" w:hAnsi="Arial" w:cs="Arial"/>
          <w:b/>
        </w:rPr>
        <w:t xml:space="preserve"> </w:t>
      </w:r>
      <w:r>
        <w:rPr>
          <w:rFonts w:ascii="Arial" w:hAnsi="Arial" w:cs="Arial"/>
          <w:bCs/>
        </w:rPr>
        <w:t xml:space="preserve">tal </w:t>
      </w:r>
      <w:r>
        <w:rPr>
          <w:rFonts w:ascii="Arial" w:hAnsi="Arial" w:cs="Arial"/>
          <w:bCs/>
        </w:rPr>
        <w:lastRenderedPageBreak/>
        <w:t>financiamiento bajo el criterio previsto en la ley ati</w:t>
      </w:r>
      <w:r w:rsidR="00C17575">
        <w:rPr>
          <w:rFonts w:ascii="Arial" w:hAnsi="Arial" w:cs="Arial"/>
          <w:bCs/>
        </w:rPr>
        <w:t>n</w:t>
      </w:r>
      <w:r>
        <w:rPr>
          <w:rFonts w:ascii="Arial" w:hAnsi="Arial" w:cs="Arial"/>
          <w:bCs/>
        </w:rPr>
        <w:t>ente a la última elección de diputados, porque simplemente no participó en aquélla, por lo que, el criterio para la entrega de sus prerrogativas fue el relativ</w:t>
      </w:r>
      <w:r w:rsidR="00674EE8">
        <w:rPr>
          <w:rFonts w:ascii="Arial" w:hAnsi="Arial" w:cs="Arial"/>
          <w:bCs/>
        </w:rPr>
        <w:t>o</w:t>
      </w:r>
      <w:r>
        <w:rPr>
          <w:rFonts w:ascii="Arial" w:hAnsi="Arial" w:cs="Arial"/>
          <w:bCs/>
        </w:rPr>
        <w:t xml:space="preserve"> a </w:t>
      </w:r>
      <w:r w:rsidR="00674EE8">
        <w:rPr>
          <w:rFonts w:ascii="Arial" w:hAnsi="Arial" w:cs="Arial"/>
          <w:bCs/>
        </w:rPr>
        <w:t>un partido de nueva creación equiparado, al no haber tenido participación en la elección de diputados inmediata anterior</w:t>
      </w:r>
      <w:r>
        <w:rPr>
          <w:rFonts w:ascii="Arial" w:hAnsi="Arial" w:cs="Arial"/>
          <w:bCs/>
        </w:rPr>
        <w:t xml:space="preserve">. </w:t>
      </w:r>
    </w:p>
    <w:p w14:paraId="4575E1BF" w14:textId="56624536" w:rsidR="00E971D1" w:rsidRDefault="00E971D1"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27988B6F" w14:textId="77777777" w:rsidR="00EA73EB" w:rsidRPr="006E30FA" w:rsidRDefault="00EA73EB" w:rsidP="00EA73EB">
      <w:pPr>
        <w:pStyle w:val="NormalWeb"/>
        <w:tabs>
          <w:tab w:val="right" w:pos="0"/>
        </w:tabs>
        <w:spacing w:before="0" w:beforeAutospacing="0" w:after="0" w:afterAutospacing="0" w:line="360" w:lineRule="auto"/>
        <w:contextualSpacing/>
        <w:mirrorIndents/>
        <w:jc w:val="both"/>
        <w:rPr>
          <w:rFonts w:ascii="Arial" w:hAnsi="Arial" w:cs="Arial"/>
          <w:b/>
        </w:rPr>
      </w:pPr>
      <w:r>
        <w:rPr>
          <w:rFonts w:ascii="Arial" w:hAnsi="Arial" w:cs="Arial"/>
          <w:b/>
        </w:rPr>
        <w:t>No era necesario que el CG aportara pruebas para acreditar el registro del PLA ni era necesario otorgar un periodo probatorio para que los partidos políticos acreditaran contar con registro vigente.</w:t>
      </w:r>
    </w:p>
    <w:p w14:paraId="4CEFD3AE" w14:textId="77777777" w:rsidR="00EA73EB" w:rsidRDefault="00EA73EB"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4D6D0E48" w14:textId="3C69F90B" w:rsidR="00C85E84" w:rsidRDefault="00FF510E"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bCs/>
        </w:rPr>
        <w:t>Con base en lo expuesto</w:t>
      </w:r>
      <w:r w:rsidR="00E971D1">
        <w:rPr>
          <w:rFonts w:ascii="Arial" w:hAnsi="Arial" w:cs="Arial"/>
          <w:bCs/>
        </w:rPr>
        <w:t xml:space="preserve">, </w:t>
      </w:r>
      <w:r w:rsidR="00EA73EB">
        <w:rPr>
          <w:rFonts w:ascii="Arial" w:hAnsi="Arial" w:cs="Arial"/>
          <w:bCs/>
        </w:rPr>
        <w:t xml:space="preserve">resulta </w:t>
      </w:r>
      <w:r w:rsidR="00F952D9">
        <w:rPr>
          <w:rFonts w:ascii="Arial" w:hAnsi="Arial" w:cs="Arial"/>
          <w:bCs/>
        </w:rPr>
        <w:t>infundada</w:t>
      </w:r>
      <w:r w:rsidR="00E971D1">
        <w:rPr>
          <w:rFonts w:ascii="Arial" w:hAnsi="Arial" w:cs="Arial"/>
          <w:bCs/>
        </w:rPr>
        <w:t xml:space="preserve"> la pretensión de la actora en el sentido de que la autoridad responsable tuviera la obligación de acreditar que</w:t>
      </w:r>
      <w:r>
        <w:rPr>
          <w:rFonts w:ascii="Arial" w:hAnsi="Arial" w:cs="Arial"/>
          <w:bCs/>
        </w:rPr>
        <w:t>,</w:t>
      </w:r>
      <w:r w:rsidR="00E971D1">
        <w:rPr>
          <w:rFonts w:ascii="Arial" w:hAnsi="Arial" w:cs="Arial"/>
          <w:bCs/>
        </w:rPr>
        <w:t xml:space="preserve"> en efecto, el PLA se trata</w:t>
      </w:r>
      <w:r w:rsidR="000F54A3">
        <w:rPr>
          <w:rFonts w:ascii="Arial" w:hAnsi="Arial" w:cs="Arial"/>
          <w:bCs/>
        </w:rPr>
        <w:t>ba</w:t>
      </w:r>
      <w:r w:rsidR="00E971D1">
        <w:rPr>
          <w:rFonts w:ascii="Arial" w:hAnsi="Arial" w:cs="Arial"/>
          <w:bCs/>
        </w:rPr>
        <w:t xml:space="preserve"> de un partido de nueva creación</w:t>
      </w:r>
      <w:r w:rsidR="00C85E84">
        <w:rPr>
          <w:rFonts w:ascii="Arial" w:hAnsi="Arial" w:cs="Arial"/>
          <w:bCs/>
        </w:rPr>
        <w:t xml:space="preserve">, </w:t>
      </w:r>
      <w:r>
        <w:rPr>
          <w:rFonts w:ascii="Arial" w:hAnsi="Arial" w:cs="Arial"/>
          <w:bCs/>
        </w:rPr>
        <w:t xml:space="preserve">en principio porque como se dijo, la connotación de partido político de reciente creación es equiparada, pero además, porque </w:t>
      </w:r>
      <w:r w:rsidR="00C85E84">
        <w:rPr>
          <w:rFonts w:ascii="Arial" w:hAnsi="Arial" w:cs="Arial"/>
          <w:bCs/>
        </w:rPr>
        <w:t>conforme a los artículos 10 y 19 de la LGPP, el trámite de constitución de los partidos políticos locales se lleva a cabo precisamente ante el OPL y</w:t>
      </w:r>
      <w:r w:rsidR="00D90E74">
        <w:rPr>
          <w:rFonts w:ascii="Arial" w:hAnsi="Arial" w:cs="Arial"/>
          <w:bCs/>
        </w:rPr>
        <w:t>,</w:t>
      </w:r>
      <w:r w:rsidR="00C85E84">
        <w:rPr>
          <w:rFonts w:ascii="Arial" w:hAnsi="Arial" w:cs="Arial"/>
          <w:bCs/>
        </w:rPr>
        <w:t xml:space="preserve"> es el CG quien aprueba </w:t>
      </w:r>
      <w:r w:rsidR="00D90E74">
        <w:rPr>
          <w:rFonts w:ascii="Arial" w:hAnsi="Arial" w:cs="Arial"/>
          <w:bCs/>
        </w:rPr>
        <w:t>su</w:t>
      </w:r>
      <w:r w:rsidR="00C85E84">
        <w:rPr>
          <w:rFonts w:ascii="Arial" w:hAnsi="Arial" w:cs="Arial"/>
          <w:bCs/>
        </w:rPr>
        <w:t xml:space="preserve"> registro</w:t>
      </w:r>
      <w:r w:rsidR="007A4720">
        <w:rPr>
          <w:rFonts w:ascii="Arial" w:hAnsi="Arial" w:cs="Arial"/>
          <w:bCs/>
        </w:rPr>
        <w:t xml:space="preserve">, por lo que, al tratarse de un acto de autoridad y contar con las constancias </w:t>
      </w:r>
      <w:r w:rsidR="00C42341">
        <w:rPr>
          <w:rFonts w:ascii="Arial" w:hAnsi="Arial" w:cs="Arial"/>
          <w:bCs/>
        </w:rPr>
        <w:t xml:space="preserve">respectivas </w:t>
      </w:r>
      <w:r w:rsidR="007A4720">
        <w:rPr>
          <w:rFonts w:ascii="Arial" w:hAnsi="Arial" w:cs="Arial"/>
          <w:bCs/>
        </w:rPr>
        <w:t>dentro de sus archivos, goza</w:t>
      </w:r>
      <w:r w:rsidR="00D90E74">
        <w:rPr>
          <w:rFonts w:ascii="Arial" w:hAnsi="Arial" w:cs="Arial"/>
          <w:bCs/>
        </w:rPr>
        <w:t>n</w:t>
      </w:r>
      <w:r w:rsidR="007A4720">
        <w:rPr>
          <w:rFonts w:ascii="Arial" w:hAnsi="Arial" w:cs="Arial"/>
          <w:bCs/>
        </w:rPr>
        <w:t xml:space="preserve"> de la presunción de validez, que en el presente expediente no fue desvirtuada por la recurrente</w:t>
      </w:r>
      <w:r w:rsidR="00C85E84">
        <w:rPr>
          <w:rFonts w:ascii="Arial" w:hAnsi="Arial" w:cs="Arial"/>
          <w:bCs/>
        </w:rPr>
        <w:t>.</w:t>
      </w:r>
    </w:p>
    <w:p w14:paraId="341852DD" w14:textId="242FC2BA" w:rsidR="007A4720" w:rsidRDefault="007A4720"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3EB4380B" w14:textId="70D8AD99" w:rsidR="00A3788F" w:rsidRDefault="00A3788F"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bCs/>
        </w:rPr>
        <w:t>En este orden de ideas, también es importante considerar que dicha autoridad</w:t>
      </w:r>
      <w:r w:rsidR="004F71CE">
        <w:rPr>
          <w:rFonts w:ascii="Arial" w:hAnsi="Arial" w:cs="Arial"/>
          <w:bCs/>
        </w:rPr>
        <w:t xml:space="preserve">, al ser la encargada de organizar, recabar y resguardar la información atinente a los comicios, </w:t>
      </w:r>
      <w:r>
        <w:rPr>
          <w:rFonts w:ascii="Arial" w:hAnsi="Arial" w:cs="Arial"/>
          <w:bCs/>
        </w:rPr>
        <w:t xml:space="preserve">cuenta con toda la información relativa al proceso electoral, </w:t>
      </w:r>
      <w:r w:rsidR="004F71CE">
        <w:rPr>
          <w:rFonts w:ascii="Arial" w:hAnsi="Arial" w:cs="Arial"/>
          <w:bCs/>
        </w:rPr>
        <w:t xml:space="preserve">como </w:t>
      </w:r>
      <w:r w:rsidR="00C42341">
        <w:rPr>
          <w:rFonts w:ascii="Arial" w:hAnsi="Arial" w:cs="Arial"/>
          <w:bCs/>
        </w:rPr>
        <w:t xml:space="preserve">es, </w:t>
      </w:r>
      <w:r w:rsidR="004F71CE">
        <w:rPr>
          <w:rFonts w:ascii="Arial" w:hAnsi="Arial" w:cs="Arial"/>
          <w:bCs/>
        </w:rPr>
        <w:t>precisamente</w:t>
      </w:r>
      <w:r w:rsidR="00C42341">
        <w:rPr>
          <w:rFonts w:ascii="Arial" w:hAnsi="Arial" w:cs="Arial"/>
          <w:bCs/>
        </w:rPr>
        <w:t>,</w:t>
      </w:r>
      <w:r w:rsidR="004F71CE">
        <w:rPr>
          <w:rFonts w:ascii="Arial" w:hAnsi="Arial" w:cs="Arial"/>
          <w:bCs/>
        </w:rPr>
        <w:t xml:space="preserve"> cuáles partidos políticos cuentan con registro vigente y los votos obtenidos por cada </w:t>
      </w:r>
      <w:r w:rsidR="00D90E74">
        <w:rPr>
          <w:rFonts w:ascii="Arial" w:hAnsi="Arial" w:cs="Arial"/>
          <w:bCs/>
        </w:rPr>
        <w:t xml:space="preserve">uno </w:t>
      </w:r>
      <w:r w:rsidR="004F71CE">
        <w:rPr>
          <w:rFonts w:ascii="Arial" w:hAnsi="Arial" w:cs="Arial"/>
          <w:bCs/>
        </w:rPr>
        <w:t xml:space="preserve">en las </w:t>
      </w:r>
      <w:r w:rsidR="00C42341">
        <w:rPr>
          <w:rFonts w:ascii="Arial" w:hAnsi="Arial" w:cs="Arial"/>
          <w:bCs/>
        </w:rPr>
        <w:t xml:space="preserve">diversas </w:t>
      </w:r>
      <w:r w:rsidR="004F71CE">
        <w:rPr>
          <w:rFonts w:ascii="Arial" w:hAnsi="Arial" w:cs="Arial"/>
          <w:bCs/>
        </w:rPr>
        <w:t>elecciones.</w:t>
      </w:r>
    </w:p>
    <w:p w14:paraId="1A0A710C" w14:textId="77777777" w:rsidR="00A3788F" w:rsidRDefault="00A3788F"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1C0F2A7B" w14:textId="3C1AFEB3" w:rsidR="00A3788F" w:rsidRDefault="00A3788F"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bCs/>
        </w:rPr>
        <w:t xml:space="preserve">Por </w:t>
      </w:r>
      <w:r w:rsidR="004F71CE">
        <w:rPr>
          <w:rFonts w:ascii="Arial" w:hAnsi="Arial" w:cs="Arial"/>
          <w:bCs/>
        </w:rPr>
        <w:t xml:space="preserve">tanto, tal información que obra en su poder, constituye la base para poder determinar qué institutos políticos cumplen con los extremos del </w:t>
      </w:r>
      <w:r>
        <w:rPr>
          <w:rFonts w:ascii="Arial" w:hAnsi="Arial" w:cs="Arial"/>
          <w:bCs/>
        </w:rPr>
        <w:t xml:space="preserve">artículo 33 del Código Electoral </w:t>
      </w:r>
      <w:r w:rsidR="004F71CE">
        <w:rPr>
          <w:rFonts w:ascii="Arial" w:hAnsi="Arial" w:cs="Arial"/>
          <w:bCs/>
        </w:rPr>
        <w:t>y, con ello, establecer la forma y montos en que se distribuirá el financiamiento público local</w:t>
      </w:r>
      <w:r w:rsidR="00C42341">
        <w:rPr>
          <w:rFonts w:ascii="Arial" w:hAnsi="Arial" w:cs="Arial"/>
          <w:bCs/>
        </w:rPr>
        <w:t>.</w:t>
      </w:r>
    </w:p>
    <w:p w14:paraId="72A9FB1B" w14:textId="7E133217" w:rsidR="00C42341" w:rsidRDefault="00C42341"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4175A327" w14:textId="7BE4AFE3" w:rsidR="00C42341" w:rsidRDefault="00085E2F"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bCs/>
        </w:rPr>
        <w:t>Así, d</w:t>
      </w:r>
      <w:r w:rsidR="00C42341">
        <w:rPr>
          <w:rFonts w:ascii="Arial" w:hAnsi="Arial" w:cs="Arial"/>
          <w:bCs/>
        </w:rPr>
        <w:t>ad</w:t>
      </w:r>
      <w:r w:rsidR="00D90E74">
        <w:rPr>
          <w:rFonts w:ascii="Arial" w:hAnsi="Arial" w:cs="Arial"/>
          <w:bCs/>
        </w:rPr>
        <w:t xml:space="preserve">o el procedimiento establecido por el legislador local </w:t>
      </w:r>
      <w:r w:rsidR="00C42341">
        <w:rPr>
          <w:rFonts w:ascii="Arial" w:hAnsi="Arial" w:cs="Arial"/>
          <w:bCs/>
        </w:rPr>
        <w:t xml:space="preserve">para </w:t>
      </w:r>
      <w:r>
        <w:rPr>
          <w:rFonts w:ascii="Arial" w:hAnsi="Arial" w:cs="Arial"/>
          <w:bCs/>
        </w:rPr>
        <w:t xml:space="preserve">determinar </w:t>
      </w:r>
      <w:r w:rsidR="00C42341">
        <w:rPr>
          <w:rFonts w:ascii="Arial" w:hAnsi="Arial" w:cs="Arial"/>
          <w:bCs/>
        </w:rPr>
        <w:t xml:space="preserve">la distribución del financiamiento y </w:t>
      </w:r>
      <w:r w:rsidR="00D90E74">
        <w:rPr>
          <w:rFonts w:ascii="Arial" w:hAnsi="Arial" w:cs="Arial"/>
          <w:bCs/>
        </w:rPr>
        <w:t xml:space="preserve">la naturaleza y origen de la información que se toma en consideración para dicho trámite, </w:t>
      </w:r>
      <w:r w:rsidR="00C42341">
        <w:rPr>
          <w:rFonts w:ascii="Arial" w:hAnsi="Arial" w:cs="Arial"/>
          <w:bCs/>
        </w:rPr>
        <w:t>no es necesario que los partidos políticos alleguen o acrediten alg</w:t>
      </w:r>
      <w:r w:rsidR="00D90E74">
        <w:rPr>
          <w:rFonts w:ascii="Arial" w:hAnsi="Arial" w:cs="Arial"/>
          <w:bCs/>
        </w:rPr>
        <w:t>ún</w:t>
      </w:r>
      <w:r w:rsidR="00C42341">
        <w:rPr>
          <w:rFonts w:ascii="Arial" w:hAnsi="Arial" w:cs="Arial"/>
          <w:bCs/>
        </w:rPr>
        <w:t xml:space="preserve"> </w:t>
      </w:r>
      <w:r w:rsidR="00D90E74">
        <w:rPr>
          <w:rFonts w:ascii="Arial" w:hAnsi="Arial" w:cs="Arial"/>
          <w:bCs/>
        </w:rPr>
        <w:t xml:space="preserve">dato </w:t>
      </w:r>
      <w:r w:rsidR="00C42341">
        <w:rPr>
          <w:rFonts w:ascii="Arial" w:hAnsi="Arial" w:cs="Arial"/>
          <w:bCs/>
        </w:rPr>
        <w:t xml:space="preserve">o documentación para </w:t>
      </w:r>
      <w:r w:rsidR="00D90E74">
        <w:rPr>
          <w:rFonts w:ascii="Arial" w:hAnsi="Arial" w:cs="Arial"/>
          <w:bCs/>
        </w:rPr>
        <w:t>que sea</w:t>
      </w:r>
      <w:r w:rsidR="00C42341">
        <w:rPr>
          <w:rFonts w:ascii="Arial" w:hAnsi="Arial" w:cs="Arial"/>
          <w:bCs/>
        </w:rPr>
        <w:t xml:space="preserve"> tomada en cuenta al momento de emitir los criterios para la ministración de las prerrogativas</w:t>
      </w:r>
      <w:r>
        <w:rPr>
          <w:rFonts w:ascii="Arial" w:hAnsi="Arial" w:cs="Arial"/>
          <w:bCs/>
        </w:rPr>
        <w:t>, de ahí lo infundado del planteamiento de la recurrente</w:t>
      </w:r>
      <w:r w:rsidR="00D90E74">
        <w:rPr>
          <w:rFonts w:ascii="Arial" w:hAnsi="Arial" w:cs="Arial"/>
          <w:bCs/>
        </w:rPr>
        <w:t>,</w:t>
      </w:r>
      <w:r>
        <w:rPr>
          <w:rFonts w:ascii="Arial" w:hAnsi="Arial" w:cs="Arial"/>
          <w:bCs/>
        </w:rPr>
        <w:t xml:space="preserve"> en el sentido de que no se le dio oportunidad de probar que no se trata de un partido político de nueva creación.</w:t>
      </w:r>
    </w:p>
    <w:p w14:paraId="130606E1" w14:textId="474A5214" w:rsidR="00E971D1" w:rsidRDefault="00E971D1" w:rsidP="005E4D17">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66ABFA78" w14:textId="0F1D6E53" w:rsidR="00C710DC" w:rsidRPr="00C710DC" w:rsidRDefault="00C710DC" w:rsidP="00C710DC">
      <w:pPr>
        <w:pStyle w:val="NormalWeb"/>
        <w:tabs>
          <w:tab w:val="right" w:pos="0"/>
        </w:tabs>
        <w:spacing w:before="0" w:beforeAutospacing="0" w:after="0" w:afterAutospacing="0" w:line="360" w:lineRule="auto"/>
        <w:contextualSpacing/>
        <w:mirrorIndents/>
        <w:jc w:val="both"/>
        <w:rPr>
          <w:rFonts w:ascii="Arial" w:hAnsi="Arial" w:cs="Arial"/>
          <w:b/>
          <w:bCs/>
        </w:rPr>
      </w:pPr>
      <w:r w:rsidRPr="00C710DC">
        <w:rPr>
          <w:rFonts w:ascii="Arial" w:hAnsi="Arial" w:cs="Arial"/>
          <w:b/>
          <w:bCs/>
        </w:rPr>
        <w:lastRenderedPageBreak/>
        <w:t xml:space="preserve">El CG </w:t>
      </w:r>
      <w:r w:rsidR="002C4EB6">
        <w:rPr>
          <w:rFonts w:ascii="Arial" w:hAnsi="Arial" w:cs="Arial"/>
          <w:b/>
          <w:bCs/>
        </w:rPr>
        <w:t xml:space="preserve">no podía </w:t>
      </w:r>
      <w:r w:rsidRPr="00C710DC">
        <w:rPr>
          <w:rFonts w:ascii="Arial" w:hAnsi="Arial" w:cs="Arial"/>
          <w:b/>
          <w:bCs/>
        </w:rPr>
        <w:t>considerar el porcentaje de votación que obtuvo el PLA en la elección de ayuntamientos del dos de junio para la distribución de las prerrogativas</w:t>
      </w:r>
      <w:r w:rsidR="002C4EB6">
        <w:rPr>
          <w:rFonts w:ascii="Arial" w:hAnsi="Arial" w:cs="Arial"/>
          <w:b/>
          <w:bCs/>
        </w:rPr>
        <w:t>.</w:t>
      </w:r>
    </w:p>
    <w:p w14:paraId="14B79FDC" w14:textId="77777777" w:rsidR="00C710DC" w:rsidRDefault="00C710DC" w:rsidP="002219EC">
      <w:pPr>
        <w:pStyle w:val="NormalWeb"/>
        <w:tabs>
          <w:tab w:val="right" w:pos="0"/>
        </w:tabs>
        <w:spacing w:before="0" w:beforeAutospacing="0" w:after="0" w:afterAutospacing="0" w:line="360" w:lineRule="auto"/>
        <w:contextualSpacing/>
        <w:mirrorIndents/>
        <w:jc w:val="both"/>
        <w:rPr>
          <w:rFonts w:ascii="Arial" w:hAnsi="Arial" w:cs="Arial"/>
        </w:rPr>
      </w:pPr>
    </w:p>
    <w:p w14:paraId="1EE730B4" w14:textId="6F7BFD05" w:rsidR="004A2255" w:rsidRDefault="000F54A3" w:rsidP="00A3788F">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bCs/>
        </w:rPr>
        <w:t>Para e</w:t>
      </w:r>
      <w:r w:rsidR="004A2255">
        <w:rPr>
          <w:rFonts w:ascii="Arial" w:hAnsi="Arial" w:cs="Arial"/>
          <w:bCs/>
        </w:rPr>
        <w:t>ste Tribunal</w:t>
      </w:r>
      <w:r w:rsidR="00D90E74">
        <w:rPr>
          <w:rFonts w:ascii="Arial" w:hAnsi="Arial" w:cs="Arial"/>
          <w:bCs/>
        </w:rPr>
        <w:t>,</w:t>
      </w:r>
      <w:r w:rsidR="004A2255">
        <w:rPr>
          <w:rFonts w:ascii="Arial" w:hAnsi="Arial" w:cs="Arial"/>
          <w:bCs/>
        </w:rPr>
        <w:t xml:space="preserve"> </w:t>
      </w:r>
      <w:r>
        <w:rPr>
          <w:rFonts w:ascii="Arial" w:hAnsi="Arial" w:cs="Arial"/>
          <w:bCs/>
        </w:rPr>
        <w:t>también</w:t>
      </w:r>
      <w:r w:rsidR="004A2255">
        <w:rPr>
          <w:rFonts w:ascii="Arial" w:hAnsi="Arial" w:cs="Arial"/>
          <w:bCs/>
        </w:rPr>
        <w:t xml:space="preserve"> es infundado el agravio atinente a que la autoridad responsable omitió tomar en </w:t>
      </w:r>
      <w:r w:rsidR="00D90E74">
        <w:rPr>
          <w:rFonts w:ascii="Arial" w:hAnsi="Arial" w:cs="Arial"/>
          <w:bCs/>
        </w:rPr>
        <w:t xml:space="preserve">consideración </w:t>
      </w:r>
      <w:r w:rsidR="004A2255">
        <w:rPr>
          <w:rFonts w:ascii="Arial" w:hAnsi="Arial" w:cs="Arial"/>
          <w:bCs/>
        </w:rPr>
        <w:t>el porcentaje de votación obtenido en la elección de ayuntamientos de dos mil diecinueve</w:t>
      </w:r>
      <w:r w:rsidR="00D90E74">
        <w:rPr>
          <w:rFonts w:ascii="Arial" w:hAnsi="Arial" w:cs="Arial"/>
          <w:bCs/>
        </w:rPr>
        <w:t>, al momento de definir el criterio aplicable al PLA para la distribución de su financiamiento.</w:t>
      </w:r>
    </w:p>
    <w:p w14:paraId="7AD9769A" w14:textId="77777777" w:rsidR="004A2255" w:rsidRDefault="004A2255" w:rsidP="00A3788F">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p>
    <w:p w14:paraId="531EB267" w14:textId="0DC66BD4" w:rsidR="00FC06FD" w:rsidRPr="006E30FA" w:rsidRDefault="004A2255" w:rsidP="00A3788F">
      <w:pPr>
        <w:pStyle w:val="NormalWeb"/>
        <w:tabs>
          <w:tab w:val="center" w:pos="4419"/>
          <w:tab w:val="right" w:pos="9497"/>
        </w:tabs>
        <w:spacing w:before="0" w:beforeAutospacing="0" w:after="0" w:afterAutospacing="0" w:line="360" w:lineRule="auto"/>
        <w:contextualSpacing/>
        <w:mirrorIndents/>
        <w:jc w:val="both"/>
        <w:rPr>
          <w:rFonts w:ascii="Arial" w:hAnsi="Arial" w:cs="Arial"/>
          <w:bCs/>
        </w:rPr>
      </w:pPr>
      <w:r>
        <w:rPr>
          <w:rFonts w:ascii="Arial" w:hAnsi="Arial" w:cs="Arial"/>
          <w:bCs/>
        </w:rPr>
        <w:t xml:space="preserve">Lo anterior, porque como ya ha quedado expuesto en la presente resolución, </w:t>
      </w:r>
      <w:r w:rsidR="00FC06FD">
        <w:rPr>
          <w:rFonts w:ascii="Arial" w:hAnsi="Arial" w:cs="Arial"/>
          <w:bCs/>
        </w:rPr>
        <w:t xml:space="preserve">en la sentencia </w:t>
      </w:r>
      <w:r>
        <w:rPr>
          <w:rFonts w:ascii="Arial" w:hAnsi="Arial" w:cs="Arial"/>
          <w:bCs/>
        </w:rPr>
        <w:t xml:space="preserve">firme dictada en </w:t>
      </w:r>
      <w:r w:rsidR="00FC06FD">
        <w:rPr>
          <w:rFonts w:ascii="Arial" w:hAnsi="Arial" w:cs="Arial"/>
          <w:bCs/>
        </w:rPr>
        <w:t>el expediente TEEA-RAP-020/2019 y acumulados,</w:t>
      </w:r>
      <w:r w:rsidR="00FC06FD" w:rsidRPr="006E30FA">
        <w:rPr>
          <w:rFonts w:ascii="Arial" w:hAnsi="Arial" w:cs="Arial"/>
          <w:bCs/>
        </w:rPr>
        <w:t xml:space="preserve"> </w:t>
      </w:r>
      <w:r>
        <w:rPr>
          <w:rFonts w:ascii="Arial" w:hAnsi="Arial" w:cs="Arial"/>
          <w:bCs/>
        </w:rPr>
        <w:t xml:space="preserve">la votación que </w:t>
      </w:r>
      <w:r w:rsidR="00D90E74">
        <w:rPr>
          <w:rFonts w:ascii="Arial" w:hAnsi="Arial" w:cs="Arial"/>
          <w:bCs/>
        </w:rPr>
        <w:t>debe</w:t>
      </w:r>
      <w:r>
        <w:rPr>
          <w:rFonts w:ascii="Arial" w:hAnsi="Arial" w:cs="Arial"/>
          <w:bCs/>
        </w:rPr>
        <w:t xml:space="preserve"> tomar</w:t>
      </w:r>
      <w:r w:rsidR="00D90E74">
        <w:rPr>
          <w:rFonts w:ascii="Arial" w:hAnsi="Arial" w:cs="Arial"/>
          <w:bCs/>
        </w:rPr>
        <w:t xml:space="preserve">se </w:t>
      </w:r>
      <w:r>
        <w:rPr>
          <w:rFonts w:ascii="Arial" w:hAnsi="Arial" w:cs="Arial"/>
          <w:bCs/>
        </w:rPr>
        <w:t xml:space="preserve">en cuenta para la distribución del financiamiento, es la de gobernador o diputados locales. </w:t>
      </w:r>
      <w:r w:rsidR="00D90E74">
        <w:rPr>
          <w:rFonts w:ascii="Arial" w:hAnsi="Arial" w:cs="Arial"/>
          <w:bCs/>
        </w:rPr>
        <w:t>Así también lo determinó la Sala Regional Monterrey en las resoluciones ya referidas en el presente fallo.</w:t>
      </w:r>
    </w:p>
    <w:p w14:paraId="76FA9FD9" w14:textId="77777777" w:rsidR="000F01DA" w:rsidRDefault="000F01DA" w:rsidP="000F01DA">
      <w:pPr>
        <w:spacing w:after="0" w:line="360" w:lineRule="auto"/>
        <w:jc w:val="both"/>
        <w:rPr>
          <w:rFonts w:ascii="Arial" w:hAnsi="Arial" w:cs="Arial"/>
          <w:color w:val="000000" w:themeColor="text1"/>
          <w:sz w:val="24"/>
          <w:szCs w:val="24"/>
        </w:rPr>
      </w:pPr>
    </w:p>
    <w:p w14:paraId="07D34976" w14:textId="0C4CBD6A" w:rsidR="000F01DA" w:rsidRPr="004A2255" w:rsidRDefault="00D90E74" w:rsidP="004A2255">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Bajo tales circunstancias, </w:t>
      </w:r>
      <w:r w:rsidR="004A2255">
        <w:rPr>
          <w:rFonts w:ascii="Arial" w:hAnsi="Arial" w:cs="Arial"/>
          <w:color w:val="000000" w:themeColor="text1"/>
          <w:sz w:val="24"/>
          <w:szCs w:val="24"/>
        </w:rPr>
        <w:t xml:space="preserve">el CG no estaba en condiciones de tomar en consideración los votos captados por el PLA en la reciente elección de ayuntamientos, por lo que, de manera correcta, determinó que </w:t>
      </w:r>
      <w:r w:rsidR="000F01DA" w:rsidRPr="006E30FA">
        <w:rPr>
          <w:rFonts w:ascii="Arial" w:hAnsi="Arial" w:cs="Arial"/>
          <w:color w:val="000000" w:themeColor="text1"/>
          <w:sz w:val="24"/>
          <w:szCs w:val="24"/>
        </w:rPr>
        <w:t xml:space="preserve">el acceso a las prerrogativas del </w:t>
      </w:r>
      <w:r w:rsidR="000F01DA">
        <w:rPr>
          <w:rFonts w:ascii="Arial" w:hAnsi="Arial" w:cs="Arial"/>
          <w:color w:val="000000" w:themeColor="text1"/>
          <w:sz w:val="24"/>
          <w:szCs w:val="24"/>
        </w:rPr>
        <w:t>PLA</w:t>
      </w:r>
      <w:r w:rsidR="000F01DA" w:rsidRPr="006E30FA">
        <w:rPr>
          <w:rFonts w:ascii="Arial" w:hAnsi="Arial" w:cs="Arial"/>
          <w:color w:val="000000" w:themeColor="text1"/>
          <w:sz w:val="24"/>
          <w:szCs w:val="24"/>
        </w:rPr>
        <w:t>, no atend</w:t>
      </w:r>
      <w:r w:rsidR="004A2255">
        <w:rPr>
          <w:rFonts w:ascii="Arial" w:hAnsi="Arial" w:cs="Arial"/>
          <w:color w:val="000000" w:themeColor="text1"/>
          <w:sz w:val="24"/>
          <w:szCs w:val="24"/>
        </w:rPr>
        <w:t>ió</w:t>
      </w:r>
      <w:r w:rsidR="000F01DA" w:rsidRPr="006E30FA">
        <w:rPr>
          <w:rFonts w:ascii="Arial" w:hAnsi="Arial" w:cs="Arial"/>
          <w:color w:val="000000" w:themeColor="text1"/>
          <w:sz w:val="24"/>
          <w:szCs w:val="24"/>
        </w:rPr>
        <w:t xml:space="preserve"> a los votos captados</w:t>
      </w:r>
      <w:r w:rsidR="000F01DA">
        <w:rPr>
          <w:rFonts w:ascii="Arial" w:hAnsi="Arial" w:cs="Arial"/>
          <w:color w:val="000000" w:themeColor="text1"/>
          <w:sz w:val="24"/>
          <w:szCs w:val="24"/>
        </w:rPr>
        <w:t>,</w:t>
      </w:r>
      <w:r w:rsidR="000F01DA" w:rsidRPr="006E30FA">
        <w:rPr>
          <w:rFonts w:ascii="Arial" w:hAnsi="Arial" w:cs="Arial"/>
          <w:color w:val="000000" w:themeColor="text1"/>
          <w:sz w:val="24"/>
          <w:szCs w:val="24"/>
        </w:rPr>
        <w:t xml:space="preserve"> sino a la conservación de su registro y a la actualización del supuesto que señala la participación en el financiamiento de los partidos políticos que </w:t>
      </w:r>
      <w:r w:rsidR="000F01DA" w:rsidRPr="004A2255">
        <w:rPr>
          <w:rFonts w:ascii="Arial" w:hAnsi="Arial" w:cs="Arial"/>
          <w:color w:val="000000" w:themeColor="text1"/>
          <w:sz w:val="24"/>
          <w:szCs w:val="24"/>
        </w:rPr>
        <w:t>no tienen representación en el congreso local</w:t>
      </w:r>
      <w:r w:rsidR="004A2255" w:rsidRPr="004A2255">
        <w:rPr>
          <w:rFonts w:ascii="Arial" w:hAnsi="Arial" w:cs="Arial"/>
          <w:color w:val="000000" w:themeColor="text1"/>
          <w:sz w:val="24"/>
          <w:szCs w:val="24"/>
        </w:rPr>
        <w:t>,</w:t>
      </w:r>
      <w:r w:rsidR="004A2255">
        <w:rPr>
          <w:rFonts w:ascii="Arial" w:hAnsi="Arial" w:cs="Arial"/>
          <w:b/>
          <w:bCs/>
          <w:color w:val="000000" w:themeColor="text1"/>
          <w:sz w:val="24"/>
          <w:szCs w:val="24"/>
        </w:rPr>
        <w:t xml:space="preserve"> </w:t>
      </w:r>
      <w:r w:rsidR="004A2255" w:rsidRPr="004A2255">
        <w:rPr>
          <w:rFonts w:ascii="Arial" w:hAnsi="Arial" w:cs="Arial"/>
          <w:color w:val="000000" w:themeColor="text1"/>
          <w:sz w:val="24"/>
          <w:szCs w:val="24"/>
        </w:rPr>
        <w:t>condición que</w:t>
      </w:r>
      <w:r>
        <w:rPr>
          <w:rFonts w:ascii="Arial" w:hAnsi="Arial" w:cs="Arial"/>
          <w:color w:val="000000" w:themeColor="text1"/>
          <w:sz w:val="24"/>
          <w:szCs w:val="24"/>
        </w:rPr>
        <w:t>, como ya se explicó en la presente resolución,</w:t>
      </w:r>
      <w:r w:rsidR="004A2255" w:rsidRPr="004A2255">
        <w:rPr>
          <w:rFonts w:ascii="Arial" w:hAnsi="Arial" w:cs="Arial"/>
          <w:color w:val="000000" w:themeColor="text1"/>
          <w:sz w:val="24"/>
          <w:szCs w:val="24"/>
        </w:rPr>
        <w:t xml:space="preserve"> se asemeja a la de un partido de nueva creación, pues</w:t>
      </w:r>
      <w:r w:rsidR="004A2255">
        <w:rPr>
          <w:rFonts w:ascii="Arial" w:hAnsi="Arial" w:cs="Arial"/>
          <w:b/>
          <w:bCs/>
          <w:color w:val="000000" w:themeColor="text1"/>
          <w:sz w:val="24"/>
          <w:szCs w:val="24"/>
        </w:rPr>
        <w:t xml:space="preserve"> </w:t>
      </w:r>
      <w:r w:rsidR="004A2255">
        <w:rPr>
          <w:rFonts w:ascii="Arial" w:hAnsi="Arial" w:cs="Arial"/>
          <w:color w:val="000000" w:themeColor="text1"/>
          <w:sz w:val="24"/>
          <w:szCs w:val="24"/>
        </w:rPr>
        <w:t>no ha participado en una elección de diputado</w:t>
      </w:r>
      <w:r w:rsidR="00FD6011">
        <w:rPr>
          <w:rFonts w:ascii="Arial" w:hAnsi="Arial" w:cs="Arial"/>
          <w:color w:val="000000" w:themeColor="text1"/>
          <w:sz w:val="24"/>
          <w:szCs w:val="24"/>
        </w:rPr>
        <w:t>s</w:t>
      </w:r>
      <w:r w:rsidR="004A2255">
        <w:rPr>
          <w:rFonts w:ascii="Arial" w:hAnsi="Arial" w:cs="Arial"/>
          <w:color w:val="000000" w:themeColor="text1"/>
          <w:sz w:val="24"/>
          <w:szCs w:val="24"/>
        </w:rPr>
        <w:t xml:space="preserve"> local</w:t>
      </w:r>
      <w:r w:rsidR="00FD6011">
        <w:rPr>
          <w:rFonts w:ascii="Arial" w:hAnsi="Arial" w:cs="Arial"/>
          <w:color w:val="000000" w:themeColor="text1"/>
          <w:sz w:val="24"/>
          <w:szCs w:val="24"/>
        </w:rPr>
        <w:t>es</w:t>
      </w:r>
      <w:r w:rsidR="004A2255">
        <w:rPr>
          <w:rFonts w:ascii="Arial" w:hAnsi="Arial" w:cs="Arial"/>
          <w:color w:val="000000" w:themeColor="text1"/>
          <w:sz w:val="24"/>
          <w:szCs w:val="24"/>
        </w:rPr>
        <w:t xml:space="preserve">. </w:t>
      </w:r>
      <w:r w:rsidR="004A2255">
        <w:rPr>
          <w:rFonts w:ascii="Arial" w:hAnsi="Arial" w:cs="Arial"/>
          <w:b/>
          <w:bCs/>
          <w:color w:val="000000" w:themeColor="text1"/>
          <w:sz w:val="24"/>
          <w:szCs w:val="24"/>
        </w:rPr>
        <w:t xml:space="preserve"> </w:t>
      </w:r>
    </w:p>
    <w:p w14:paraId="4FB5F0A2" w14:textId="77777777" w:rsidR="000F01DA" w:rsidRDefault="000F01DA" w:rsidP="000F01DA">
      <w:pPr>
        <w:pStyle w:val="NormalWeb"/>
        <w:spacing w:before="0" w:beforeAutospacing="0" w:after="0" w:afterAutospacing="0" w:line="360" w:lineRule="auto"/>
        <w:contextualSpacing/>
        <w:mirrorIndents/>
        <w:jc w:val="both"/>
        <w:rPr>
          <w:rFonts w:ascii="Arial" w:hAnsi="Arial" w:cs="Arial"/>
          <w:color w:val="000000" w:themeColor="text1"/>
        </w:rPr>
      </w:pPr>
    </w:p>
    <w:p w14:paraId="7D8A36AE" w14:textId="78B68C71" w:rsidR="006D0DE5" w:rsidRDefault="00193CE6" w:rsidP="00056383">
      <w:pPr>
        <w:pStyle w:val="NormalWeb"/>
        <w:tabs>
          <w:tab w:val="left" w:pos="284"/>
          <w:tab w:val="center" w:pos="4419"/>
          <w:tab w:val="right" w:pos="8838"/>
        </w:tabs>
        <w:spacing w:before="0" w:beforeAutospacing="0" w:after="0" w:afterAutospacing="0" w:line="360" w:lineRule="auto"/>
        <w:contextualSpacing/>
        <w:mirrorIndents/>
        <w:jc w:val="both"/>
        <w:rPr>
          <w:rFonts w:ascii="Arial" w:hAnsi="Arial" w:cs="Arial"/>
          <w:b/>
        </w:rPr>
      </w:pPr>
      <w:r>
        <w:rPr>
          <w:rFonts w:ascii="Arial" w:hAnsi="Arial" w:cs="Arial"/>
          <w:b/>
        </w:rPr>
        <w:t xml:space="preserve">Son </w:t>
      </w:r>
      <w:r w:rsidR="00A55EE9">
        <w:rPr>
          <w:rFonts w:ascii="Arial" w:hAnsi="Arial" w:cs="Arial"/>
          <w:b/>
        </w:rPr>
        <w:t>inoperantes</w:t>
      </w:r>
      <w:r>
        <w:rPr>
          <w:rFonts w:ascii="Arial" w:hAnsi="Arial" w:cs="Arial"/>
          <w:b/>
        </w:rPr>
        <w:t xml:space="preserve"> los agravios SEGUNDO y TERCERO que plantea la recurrente, puesto que se trata de enunciados que no expresan la causa de pedir.</w:t>
      </w:r>
    </w:p>
    <w:p w14:paraId="4A5514C2" w14:textId="35119930" w:rsidR="00A55EE9" w:rsidRDefault="00A55EE9" w:rsidP="00056383">
      <w:pPr>
        <w:pStyle w:val="NormalWeb"/>
        <w:tabs>
          <w:tab w:val="left" w:pos="284"/>
          <w:tab w:val="center" w:pos="4419"/>
          <w:tab w:val="right" w:pos="8838"/>
        </w:tabs>
        <w:spacing w:before="0" w:beforeAutospacing="0" w:after="0" w:afterAutospacing="0" w:line="360" w:lineRule="auto"/>
        <w:contextualSpacing/>
        <w:mirrorIndents/>
        <w:jc w:val="both"/>
        <w:rPr>
          <w:rFonts w:ascii="Arial" w:hAnsi="Arial" w:cs="Arial"/>
          <w:b/>
        </w:rPr>
      </w:pPr>
    </w:p>
    <w:p w14:paraId="393AE750" w14:textId="72438683" w:rsidR="00A55EE9" w:rsidRPr="00CF6415" w:rsidRDefault="00FE0281" w:rsidP="00A55EE9">
      <w:pPr>
        <w:pStyle w:val="NormalWeb"/>
        <w:tabs>
          <w:tab w:val="left" w:pos="142"/>
          <w:tab w:val="left" w:pos="284"/>
        </w:tabs>
        <w:spacing w:before="0" w:beforeAutospacing="0" w:after="0" w:afterAutospacing="0" w:line="360" w:lineRule="auto"/>
        <w:ind w:left="30"/>
        <w:contextualSpacing/>
        <w:mirrorIndents/>
        <w:jc w:val="both"/>
        <w:rPr>
          <w:rFonts w:ascii="Arial" w:hAnsi="Arial" w:cs="Arial"/>
          <w:bCs/>
        </w:rPr>
      </w:pPr>
      <w:r>
        <w:rPr>
          <w:rFonts w:ascii="Arial" w:hAnsi="Arial" w:cs="Arial"/>
          <w:bCs/>
        </w:rPr>
        <w:t>Finalmente, resultan</w:t>
      </w:r>
      <w:r w:rsidR="00A55EE9" w:rsidRPr="00CF6415">
        <w:rPr>
          <w:rFonts w:ascii="Arial" w:hAnsi="Arial" w:cs="Arial"/>
          <w:bCs/>
        </w:rPr>
        <w:t xml:space="preserve"> inoperante</w:t>
      </w:r>
      <w:r w:rsidR="00A55EE9">
        <w:rPr>
          <w:rFonts w:ascii="Arial" w:hAnsi="Arial" w:cs="Arial"/>
          <w:bCs/>
        </w:rPr>
        <w:t>s</w:t>
      </w:r>
      <w:r w:rsidR="00A55EE9" w:rsidRPr="00CF6415">
        <w:rPr>
          <w:rFonts w:ascii="Arial" w:hAnsi="Arial" w:cs="Arial"/>
          <w:bCs/>
        </w:rPr>
        <w:t xml:space="preserve"> l</w:t>
      </w:r>
      <w:r w:rsidR="00A55EE9">
        <w:rPr>
          <w:rFonts w:ascii="Arial" w:hAnsi="Arial" w:cs="Arial"/>
          <w:bCs/>
        </w:rPr>
        <w:t>os</w:t>
      </w:r>
      <w:r w:rsidR="00A55EE9" w:rsidRPr="00CF6415">
        <w:rPr>
          <w:rFonts w:ascii="Arial" w:hAnsi="Arial" w:cs="Arial"/>
          <w:bCs/>
        </w:rPr>
        <w:t xml:space="preserve"> agravio</w:t>
      </w:r>
      <w:r w:rsidR="00B04A81">
        <w:rPr>
          <w:rFonts w:ascii="Arial" w:hAnsi="Arial" w:cs="Arial"/>
          <w:bCs/>
        </w:rPr>
        <w:t>s</w:t>
      </w:r>
      <w:r w:rsidR="00A55EE9" w:rsidRPr="00CF6415">
        <w:rPr>
          <w:rFonts w:ascii="Arial" w:hAnsi="Arial" w:cs="Arial"/>
          <w:bCs/>
        </w:rPr>
        <w:t xml:space="preserve"> formula</w:t>
      </w:r>
      <w:r w:rsidR="00A55EE9">
        <w:rPr>
          <w:rFonts w:ascii="Arial" w:hAnsi="Arial" w:cs="Arial"/>
          <w:bCs/>
        </w:rPr>
        <w:t>dos en los puntos SEGUNDO y TERCERO</w:t>
      </w:r>
      <w:r w:rsidR="00A55EE9" w:rsidRPr="00CF6415">
        <w:rPr>
          <w:rFonts w:ascii="Arial" w:hAnsi="Arial" w:cs="Arial"/>
          <w:bCs/>
        </w:rPr>
        <w:t xml:space="preserve">, ya que </w:t>
      </w:r>
      <w:r w:rsidR="002D4F12">
        <w:rPr>
          <w:rFonts w:ascii="Arial" w:hAnsi="Arial" w:cs="Arial"/>
          <w:bCs/>
        </w:rPr>
        <w:t xml:space="preserve">como se puede advertir de su lectura, </w:t>
      </w:r>
      <w:r w:rsidR="001B326B">
        <w:rPr>
          <w:rFonts w:ascii="Arial" w:hAnsi="Arial" w:cs="Arial"/>
          <w:bCs/>
        </w:rPr>
        <w:t xml:space="preserve">la recurrente </w:t>
      </w:r>
      <w:r w:rsidR="00A55EE9" w:rsidRPr="00CF6415">
        <w:rPr>
          <w:rFonts w:ascii="Arial" w:hAnsi="Arial" w:cs="Arial"/>
          <w:bCs/>
        </w:rPr>
        <w:t xml:space="preserve">solo </w:t>
      </w:r>
      <w:r w:rsidR="001B326B">
        <w:rPr>
          <w:rFonts w:ascii="Arial" w:hAnsi="Arial" w:cs="Arial"/>
          <w:bCs/>
        </w:rPr>
        <w:t xml:space="preserve">realiza </w:t>
      </w:r>
      <w:r w:rsidR="00A55EE9" w:rsidRPr="00CF6415">
        <w:rPr>
          <w:rFonts w:ascii="Arial" w:hAnsi="Arial" w:cs="Arial"/>
          <w:bCs/>
        </w:rPr>
        <w:t>meras afirmaciones, sin razonar el por qué, en el caso concreto, en la resolución impugnada, se configura</w:t>
      </w:r>
      <w:r w:rsidR="002D4F12">
        <w:rPr>
          <w:rFonts w:ascii="Arial" w:hAnsi="Arial" w:cs="Arial"/>
          <w:bCs/>
        </w:rPr>
        <w:t xml:space="preserve"> alguna </w:t>
      </w:r>
      <w:r w:rsidR="00A55EE9" w:rsidRPr="00CF6415">
        <w:rPr>
          <w:rFonts w:ascii="Arial" w:hAnsi="Arial" w:cs="Arial"/>
          <w:bCs/>
        </w:rPr>
        <w:t>transgresi</w:t>
      </w:r>
      <w:r w:rsidR="002D4F12">
        <w:rPr>
          <w:rFonts w:ascii="Arial" w:hAnsi="Arial" w:cs="Arial"/>
          <w:bCs/>
        </w:rPr>
        <w:t>ón</w:t>
      </w:r>
      <w:r w:rsidR="00A55EE9" w:rsidRPr="00CF6415">
        <w:rPr>
          <w:rFonts w:ascii="Arial" w:hAnsi="Arial" w:cs="Arial"/>
          <w:bCs/>
        </w:rPr>
        <w:t xml:space="preserve"> a la </w:t>
      </w:r>
      <w:r w:rsidR="00530155">
        <w:rPr>
          <w:rFonts w:ascii="Arial" w:hAnsi="Arial" w:cs="Arial"/>
          <w:bCs/>
        </w:rPr>
        <w:t xml:space="preserve">normativa o reglas </w:t>
      </w:r>
      <w:r w:rsidR="002D4F12">
        <w:rPr>
          <w:rFonts w:ascii="Arial" w:hAnsi="Arial" w:cs="Arial"/>
          <w:bCs/>
        </w:rPr>
        <w:t>atientes a la distribución del financiamiento público</w:t>
      </w:r>
      <w:r w:rsidR="00A55EE9" w:rsidRPr="00CF6415">
        <w:rPr>
          <w:rFonts w:ascii="Arial" w:hAnsi="Arial" w:cs="Arial"/>
          <w:bCs/>
        </w:rPr>
        <w:t>.</w:t>
      </w:r>
    </w:p>
    <w:p w14:paraId="23C8BAB6" w14:textId="77777777" w:rsidR="00A55EE9" w:rsidRPr="00CF6415" w:rsidRDefault="00A55EE9" w:rsidP="00A55EE9">
      <w:pPr>
        <w:pStyle w:val="NormalWeb"/>
        <w:tabs>
          <w:tab w:val="left" w:pos="142"/>
          <w:tab w:val="left" w:pos="284"/>
        </w:tabs>
        <w:spacing w:before="0" w:beforeAutospacing="0" w:after="0" w:afterAutospacing="0" w:line="360" w:lineRule="auto"/>
        <w:ind w:left="30"/>
        <w:contextualSpacing/>
        <w:mirrorIndents/>
        <w:jc w:val="both"/>
        <w:rPr>
          <w:rFonts w:ascii="Arial" w:hAnsi="Arial" w:cs="Arial"/>
          <w:bCs/>
        </w:rPr>
      </w:pPr>
    </w:p>
    <w:p w14:paraId="70E14915" w14:textId="561230C5" w:rsidR="00D510BD" w:rsidRPr="00D510BD" w:rsidRDefault="00D90E74" w:rsidP="00D510BD">
      <w:pPr>
        <w:spacing w:after="160" w:line="360" w:lineRule="auto"/>
        <w:jc w:val="both"/>
        <w:rPr>
          <w:rFonts w:ascii="Arial" w:hAnsi="Arial" w:cs="Arial"/>
          <w:sz w:val="24"/>
          <w:szCs w:val="24"/>
        </w:rPr>
      </w:pPr>
      <w:r>
        <w:rPr>
          <w:rFonts w:ascii="Arial" w:hAnsi="Arial" w:cs="Arial"/>
          <w:sz w:val="24"/>
          <w:szCs w:val="24"/>
        </w:rPr>
        <w:t>Lo anterior se afirma, ya que, c</w:t>
      </w:r>
      <w:r w:rsidR="00530155">
        <w:rPr>
          <w:rFonts w:ascii="Arial" w:hAnsi="Arial" w:cs="Arial"/>
          <w:sz w:val="24"/>
          <w:szCs w:val="24"/>
        </w:rPr>
        <w:t xml:space="preserve">onforme a la </w:t>
      </w:r>
      <w:r w:rsidR="00A55EE9" w:rsidRPr="00CF6415">
        <w:rPr>
          <w:rFonts w:ascii="Arial" w:hAnsi="Arial" w:cs="Arial"/>
          <w:sz w:val="24"/>
          <w:szCs w:val="24"/>
        </w:rPr>
        <w:t xml:space="preserve">jurisprudencia </w:t>
      </w:r>
      <w:r w:rsidR="002D4F12">
        <w:rPr>
          <w:rFonts w:ascii="Arial" w:hAnsi="Arial" w:cs="Arial"/>
          <w:sz w:val="24"/>
          <w:szCs w:val="24"/>
        </w:rPr>
        <w:t>de rubro</w:t>
      </w:r>
      <w:r w:rsidR="00D635E1">
        <w:rPr>
          <w:rFonts w:ascii="Arial" w:hAnsi="Arial" w:cs="Arial"/>
          <w:sz w:val="24"/>
          <w:szCs w:val="24"/>
        </w:rPr>
        <w:t xml:space="preserve"> </w:t>
      </w:r>
      <w:r w:rsidR="00D635E1" w:rsidRPr="00D635E1">
        <w:rPr>
          <w:rFonts w:ascii="Arial" w:hAnsi="Arial" w:cs="Arial"/>
          <w:b/>
          <w:i/>
          <w:iCs/>
          <w:sz w:val="24"/>
          <w:szCs w:val="24"/>
        </w:rPr>
        <w:t>“CONCEPTOS O AGRAVIOS INOPERANTES. QUÉ DEBE ENTENDERSE POR "RAZONAMIENTO" COMO COMPONENTE DE LA CAUSA DE PEDIR PARA QUE PROCEDA SU E</w:t>
      </w:r>
      <w:r w:rsidR="00D635E1" w:rsidRPr="00D510BD">
        <w:rPr>
          <w:rFonts w:ascii="Arial" w:hAnsi="Arial" w:cs="Arial"/>
          <w:b/>
          <w:i/>
          <w:iCs/>
          <w:sz w:val="24"/>
          <w:szCs w:val="24"/>
        </w:rPr>
        <w:t>STUDIO”</w:t>
      </w:r>
      <w:r w:rsidR="00D635E1" w:rsidRPr="00D510BD">
        <w:rPr>
          <w:rStyle w:val="Refdenotaalpie"/>
          <w:rFonts w:ascii="Arial" w:hAnsi="Arial" w:cs="Arial"/>
          <w:bCs/>
          <w:sz w:val="24"/>
          <w:szCs w:val="24"/>
        </w:rPr>
        <w:t xml:space="preserve"> </w:t>
      </w:r>
      <w:r w:rsidR="00D635E1" w:rsidRPr="00D510BD">
        <w:rPr>
          <w:rStyle w:val="Refdenotaalpie"/>
          <w:rFonts w:ascii="Arial" w:hAnsi="Arial" w:cs="Arial"/>
          <w:bCs/>
          <w:sz w:val="24"/>
          <w:szCs w:val="24"/>
        </w:rPr>
        <w:footnoteReference w:id="9"/>
      </w:r>
      <w:r w:rsidR="00530155" w:rsidRPr="00D510BD">
        <w:rPr>
          <w:rFonts w:ascii="Arial" w:hAnsi="Arial" w:cs="Arial"/>
          <w:sz w:val="24"/>
          <w:szCs w:val="24"/>
        </w:rPr>
        <w:t xml:space="preserve">, </w:t>
      </w:r>
      <w:r w:rsidR="00D510BD" w:rsidRPr="00D510BD">
        <w:rPr>
          <w:rFonts w:ascii="Arial" w:hAnsi="Arial" w:cs="Arial"/>
          <w:sz w:val="24"/>
          <w:szCs w:val="24"/>
        </w:rPr>
        <w:t xml:space="preserve">los agravios se tornan inoperantes cuando </w:t>
      </w:r>
      <w:r w:rsidR="00A55EE9" w:rsidRPr="00D510BD">
        <w:rPr>
          <w:rFonts w:ascii="Arial" w:hAnsi="Arial" w:cs="Arial"/>
          <w:sz w:val="24"/>
          <w:szCs w:val="24"/>
        </w:rPr>
        <w:t xml:space="preserve">el actor no cumple con los </w:t>
      </w:r>
      <w:r w:rsidR="00A55EE9" w:rsidRPr="00D510BD">
        <w:rPr>
          <w:rFonts w:ascii="Arial" w:hAnsi="Arial" w:cs="Arial"/>
          <w:sz w:val="24"/>
          <w:szCs w:val="24"/>
        </w:rPr>
        <w:lastRenderedPageBreak/>
        <w:t xml:space="preserve">parámetros mínimos para la eficacia de </w:t>
      </w:r>
      <w:r w:rsidR="00D510BD" w:rsidRPr="00D510BD">
        <w:rPr>
          <w:rFonts w:ascii="Arial" w:hAnsi="Arial" w:cs="Arial"/>
          <w:sz w:val="24"/>
          <w:szCs w:val="24"/>
        </w:rPr>
        <w:t xml:space="preserve">su </w:t>
      </w:r>
      <w:r w:rsidR="00A55EE9" w:rsidRPr="00D510BD">
        <w:rPr>
          <w:rFonts w:ascii="Arial" w:hAnsi="Arial" w:cs="Arial"/>
          <w:sz w:val="24"/>
          <w:szCs w:val="24"/>
        </w:rPr>
        <w:t>solicitud</w:t>
      </w:r>
      <w:r w:rsidR="00D510BD" w:rsidRPr="00D510BD">
        <w:rPr>
          <w:rFonts w:ascii="Arial" w:hAnsi="Arial" w:cs="Arial"/>
          <w:sz w:val="24"/>
          <w:szCs w:val="24"/>
        </w:rPr>
        <w:t>, ya que la causa de pedir no implica que los quejosos o recurrentes pued</w:t>
      </w:r>
      <w:r w:rsidR="00B04A81">
        <w:rPr>
          <w:rFonts w:ascii="Arial" w:hAnsi="Arial" w:cs="Arial"/>
          <w:sz w:val="24"/>
          <w:szCs w:val="24"/>
        </w:rPr>
        <w:t>a</w:t>
      </w:r>
      <w:r w:rsidR="00D510BD" w:rsidRPr="00D510BD">
        <w:rPr>
          <w:rFonts w:ascii="Arial" w:hAnsi="Arial" w:cs="Arial"/>
          <w:sz w:val="24"/>
          <w:szCs w:val="24"/>
        </w:rPr>
        <w:t>n limitarse a realizar meras afirmaciones sin sustento o fundamento, pues a ellos corresponde exponer, razonadamente, por qué estiman inconstitucionales o ilegales los actos que reclaman o recurren.</w:t>
      </w:r>
    </w:p>
    <w:p w14:paraId="36F68BAD" w14:textId="71A1135A" w:rsidR="00D510BD" w:rsidRPr="00D90E74" w:rsidRDefault="00D510BD" w:rsidP="008830FC">
      <w:pPr>
        <w:spacing w:after="0" w:line="360" w:lineRule="auto"/>
        <w:jc w:val="both"/>
        <w:rPr>
          <w:rFonts w:ascii="Arial" w:hAnsi="Arial" w:cs="Arial"/>
          <w:i/>
          <w:iCs/>
          <w:sz w:val="24"/>
          <w:szCs w:val="24"/>
        </w:rPr>
      </w:pPr>
      <w:r w:rsidRPr="00D510BD">
        <w:rPr>
          <w:rFonts w:ascii="Arial" w:hAnsi="Arial" w:cs="Arial"/>
          <w:sz w:val="24"/>
          <w:szCs w:val="24"/>
        </w:rPr>
        <w:t xml:space="preserve">Conforme a esta tesis, la expresión de un agravio se traduce en </w:t>
      </w:r>
      <w:r w:rsidRPr="00D90E74">
        <w:rPr>
          <w:rFonts w:ascii="Arial" w:hAnsi="Arial" w:cs="Arial"/>
          <w:i/>
          <w:iCs/>
          <w:sz w:val="24"/>
          <w:szCs w:val="24"/>
        </w:rPr>
        <w:t>“la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w:t>
      </w:r>
    </w:p>
    <w:p w14:paraId="5E6975F1" w14:textId="77777777" w:rsidR="008830FC" w:rsidRDefault="008830FC" w:rsidP="008830FC">
      <w:pPr>
        <w:spacing w:after="0" w:line="360" w:lineRule="auto"/>
        <w:jc w:val="both"/>
        <w:rPr>
          <w:rFonts w:ascii="Arial" w:hAnsi="Arial" w:cs="Arial"/>
          <w:sz w:val="24"/>
          <w:szCs w:val="24"/>
        </w:rPr>
      </w:pPr>
    </w:p>
    <w:p w14:paraId="3011932F" w14:textId="5C525A92" w:rsidR="00D90E74" w:rsidRDefault="00D90E74" w:rsidP="008830FC">
      <w:pPr>
        <w:spacing w:after="0" w:line="360" w:lineRule="auto"/>
        <w:jc w:val="both"/>
        <w:rPr>
          <w:rFonts w:ascii="Arial" w:hAnsi="Arial" w:cs="Arial"/>
          <w:sz w:val="24"/>
          <w:szCs w:val="24"/>
        </w:rPr>
      </w:pPr>
      <w:r>
        <w:rPr>
          <w:rFonts w:ascii="Arial" w:hAnsi="Arial" w:cs="Arial"/>
          <w:sz w:val="24"/>
          <w:szCs w:val="24"/>
        </w:rPr>
        <w:t xml:space="preserve">Como se pueda apreciar del contenido de los agravios identificados como “SEGUNDO” y “TERCERO”, cuya transcripción se realizó en el Cuarto considerado de la presente sentencia, </w:t>
      </w:r>
      <w:r w:rsidR="009F79A9">
        <w:rPr>
          <w:rFonts w:ascii="Arial" w:hAnsi="Arial" w:cs="Arial"/>
          <w:sz w:val="24"/>
          <w:szCs w:val="24"/>
        </w:rPr>
        <w:t>se trata de meras expresiones o enunciaciones, de las cuales no se puede extraer algún argumento o elemento que enfrente las consideraciones que dan sustento al acuerdo impugnado</w:t>
      </w:r>
      <w:r w:rsidR="008830FC">
        <w:rPr>
          <w:rFonts w:ascii="Arial" w:hAnsi="Arial" w:cs="Arial"/>
          <w:sz w:val="24"/>
          <w:szCs w:val="24"/>
        </w:rPr>
        <w:t xml:space="preserve"> y</w:t>
      </w:r>
      <w:r w:rsidR="009F79A9">
        <w:rPr>
          <w:rFonts w:ascii="Arial" w:hAnsi="Arial" w:cs="Arial"/>
          <w:sz w:val="24"/>
          <w:szCs w:val="24"/>
        </w:rPr>
        <w:t xml:space="preserve"> que permita realizar una confrontación entre lo resuelto y la norma,</w:t>
      </w:r>
      <w:r w:rsidR="008830FC">
        <w:rPr>
          <w:rFonts w:ascii="Arial" w:hAnsi="Arial" w:cs="Arial"/>
          <w:sz w:val="24"/>
          <w:szCs w:val="24"/>
        </w:rPr>
        <w:t xml:space="preserve"> para así poder llevar a cabo un pronunciamiento que le dé la razón o bien, que la desestime.</w:t>
      </w:r>
    </w:p>
    <w:p w14:paraId="0C24334F" w14:textId="77777777" w:rsidR="008830FC" w:rsidRDefault="008830FC" w:rsidP="008830FC">
      <w:pPr>
        <w:spacing w:after="0" w:line="360" w:lineRule="auto"/>
        <w:jc w:val="both"/>
        <w:rPr>
          <w:rFonts w:ascii="Arial" w:hAnsi="Arial" w:cs="Arial"/>
          <w:sz w:val="24"/>
          <w:szCs w:val="24"/>
        </w:rPr>
      </w:pPr>
    </w:p>
    <w:p w14:paraId="285D7B1F" w14:textId="54F3D821" w:rsidR="00D510BD" w:rsidRPr="00D510BD" w:rsidRDefault="00D510BD" w:rsidP="008830FC">
      <w:pPr>
        <w:spacing w:after="0" w:line="360" w:lineRule="auto"/>
        <w:jc w:val="both"/>
        <w:rPr>
          <w:rFonts w:ascii="Arial" w:hAnsi="Arial" w:cs="Arial"/>
          <w:sz w:val="24"/>
          <w:szCs w:val="24"/>
        </w:rPr>
      </w:pPr>
      <w:r>
        <w:rPr>
          <w:rFonts w:ascii="Arial" w:hAnsi="Arial" w:cs="Arial"/>
          <w:sz w:val="24"/>
          <w:szCs w:val="24"/>
        </w:rPr>
        <w:t>De a</w:t>
      </w:r>
      <w:r w:rsidRPr="00D510BD">
        <w:rPr>
          <w:rFonts w:ascii="Arial" w:hAnsi="Arial" w:cs="Arial"/>
          <w:sz w:val="24"/>
          <w:szCs w:val="24"/>
        </w:rPr>
        <w:t xml:space="preserve">nalizar alguna aseveración que no satisfaga </w:t>
      </w:r>
      <w:r w:rsidR="000F54A3">
        <w:rPr>
          <w:rFonts w:ascii="Arial" w:hAnsi="Arial" w:cs="Arial"/>
          <w:sz w:val="24"/>
          <w:szCs w:val="24"/>
        </w:rPr>
        <w:t>los elementos mínimos antes apuntados</w:t>
      </w:r>
      <w:r w:rsidRPr="00D510BD">
        <w:rPr>
          <w:rFonts w:ascii="Arial" w:hAnsi="Arial" w:cs="Arial"/>
          <w:sz w:val="24"/>
          <w:szCs w:val="24"/>
        </w:rPr>
        <w:t>, se estaría resolviendo a partir de argumentos no esbozados, lo que se traduciría en una verdadera suplencia de la queja en asuntos, que, como en el recurso de apelación que nos ocupa, está vedada.</w:t>
      </w:r>
    </w:p>
    <w:p w14:paraId="65DA8509" w14:textId="77777777" w:rsidR="008830FC" w:rsidRDefault="008830FC" w:rsidP="008830FC">
      <w:pPr>
        <w:pStyle w:val="NormalWeb"/>
        <w:tabs>
          <w:tab w:val="left" w:pos="142"/>
          <w:tab w:val="left" w:pos="284"/>
        </w:tabs>
        <w:spacing w:before="0" w:beforeAutospacing="0" w:after="0" w:afterAutospacing="0" w:line="360" w:lineRule="auto"/>
        <w:ind w:left="30"/>
        <w:contextualSpacing/>
        <w:mirrorIndents/>
        <w:jc w:val="both"/>
        <w:rPr>
          <w:rFonts w:ascii="Arial" w:hAnsi="Arial" w:cs="Arial"/>
          <w:bCs/>
        </w:rPr>
      </w:pPr>
    </w:p>
    <w:p w14:paraId="495C69A5" w14:textId="608CA0C0" w:rsidR="00A55EE9" w:rsidRDefault="002A1E5E" w:rsidP="008830FC">
      <w:pPr>
        <w:pStyle w:val="NormalWeb"/>
        <w:tabs>
          <w:tab w:val="left" w:pos="142"/>
          <w:tab w:val="left" w:pos="284"/>
        </w:tabs>
        <w:spacing w:before="0" w:beforeAutospacing="0" w:after="0" w:afterAutospacing="0" w:line="360" w:lineRule="auto"/>
        <w:ind w:left="30"/>
        <w:contextualSpacing/>
        <w:mirrorIndents/>
        <w:jc w:val="both"/>
        <w:rPr>
          <w:rFonts w:ascii="Arial" w:hAnsi="Arial" w:cs="Arial"/>
          <w:bCs/>
        </w:rPr>
      </w:pPr>
      <w:r>
        <w:rPr>
          <w:rFonts w:ascii="Arial" w:hAnsi="Arial" w:cs="Arial"/>
          <w:bCs/>
        </w:rPr>
        <w:t xml:space="preserve">Por tanto, </w:t>
      </w:r>
      <w:r w:rsidR="00A55EE9" w:rsidRPr="00CF6415">
        <w:rPr>
          <w:rFonts w:ascii="Arial" w:hAnsi="Arial" w:cs="Arial"/>
          <w:bCs/>
        </w:rPr>
        <w:t xml:space="preserve">este Tribunal no cuenta con los elementos mínimos para poder pronunciarse </w:t>
      </w:r>
      <w:r w:rsidR="00D510BD">
        <w:rPr>
          <w:rFonts w:ascii="Arial" w:hAnsi="Arial" w:cs="Arial"/>
          <w:bCs/>
        </w:rPr>
        <w:t>en relación a tales agravios</w:t>
      </w:r>
      <w:r w:rsidR="00A55EE9" w:rsidRPr="00CF6415">
        <w:rPr>
          <w:rFonts w:ascii="Arial" w:hAnsi="Arial" w:cs="Arial"/>
          <w:bCs/>
        </w:rPr>
        <w:t>.</w:t>
      </w:r>
    </w:p>
    <w:p w14:paraId="73D0A3FA" w14:textId="262FA841" w:rsidR="002A1E5E" w:rsidRDefault="002A1E5E" w:rsidP="008830FC">
      <w:pPr>
        <w:pStyle w:val="NormalWeb"/>
        <w:tabs>
          <w:tab w:val="left" w:pos="142"/>
          <w:tab w:val="left" w:pos="284"/>
        </w:tabs>
        <w:spacing w:before="0" w:beforeAutospacing="0" w:after="0" w:afterAutospacing="0" w:line="360" w:lineRule="auto"/>
        <w:ind w:left="30"/>
        <w:contextualSpacing/>
        <w:mirrorIndents/>
        <w:jc w:val="both"/>
        <w:rPr>
          <w:rFonts w:ascii="Arial" w:hAnsi="Arial" w:cs="Arial"/>
          <w:bCs/>
        </w:rPr>
      </w:pPr>
    </w:p>
    <w:p w14:paraId="0D5697F7" w14:textId="51B38746" w:rsidR="002A1E5E" w:rsidRDefault="002A1E5E" w:rsidP="002A1E5E">
      <w:pPr>
        <w:pStyle w:val="NormalWeb"/>
        <w:tabs>
          <w:tab w:val="left" w:pos="142"/>
          <w:tab w:val="left" w:pos="284"/>
        </w:tabs>
        <w:spacing w:before="0" w:beforeAutospacing="0" w:after="0" w:afterAutospacing="0" w:line="360" w:lineRule="auto"/>
        <w:contextualSpacing/>
        <w:mirrorIndents/>
        <w:jc w:val="both"/>
        <w:rPr>
          <w:rFonts w:ascii="Arial" w:hAnsi="Arial" w:cs="Arial"/>
          <w:bCs/>
        </w:rPr>
      </w:pPr>
      <w:r>
        <w:rPr>
          <w:rFonts w:ascii="Arial" w:hAnsi="Arial" w:cs="Arial"/>
          <w:bCs/>
        </w:rPr>
        <w:t xml:space="preserve">En virtud de haber resultado </w:t>
      </w:r>
      <w:r w:rsidR="00B04A81">
        <w:rPr>
          <w:rFonts w:ascii="Arial" w:hAnsi="Arial" w:cs="Arial"/>
          <w:bCs/>
        </w:rPr>
        <w:t>ineficaces</w:t>
      </w:r>
      <w:r>
        <w:rPr>
          <w:rFonts w:ascii="Arial" w:hAnsi="Arial" w:cs="Arial"/>
          <w:bCs/>
        </w:rPr>
        <w:t xml:space="preserve"> los agravios expuestos por la parte recurrente, lo conducente es confirmar el acuerdo impugnado.</w:t>
      </w:r>
    </w:p>
    <w:p w14:paraId="7FA7DB8B" w14:textId="49559FAE" w:rsidR="002A1E5E" w:rsidRDefault="002A1E5E" w:rsidP="008830FC">
      <w:pPr>
        <w:pStyle w:val="NormalWeb"/>
        <w:tabs>
          <w:tab w:val="left" w:pos="142"/>
          <w:tab w:val="left" w:pos="284"/>
        </w:tabs>
        <w:spacing w:before="0" w:beforeAutospacing="0" w:after="0" w:afterAutospacing="0" w:line="360" w:lineRule="auto"/>
        <w:ind w:left="30"/>
        <w:contextualSpacing/>
        <w:mirrorIndents/>
        <w:jc w:val="both"/>
        <w:rPr>
          <w:rFonts w:ascii="Arial" w:hAnsi="Arial" w:cs="Arial"/>
          <w:bCs/>
        </w:rPr>
      </w:pPr>
    </w:p>
    <w:p w14:paraId="301C1709" w14:textId="6E94E736" w:rsidR="00BE71B9" w:rsidRDefault="00BE71B9" w:rsidP="00BE71B9">
      <w:pPr>
        <w:pStyle w:val="NormalWeb"/>
        <w:tabs>
          <w:tab w:val="left" w:pos="284"/>
          <w:tab w:val="center" w:pos="4419"/>
          <w:tab w:val="right" w:pos="8838"/>
        </w:tabs>
        <w:spacing w:before="0" w:beforeAutospacing="0" w:after="0" w:afterAutospacing="0" w:line="360" w:lineRule="auto"/>
        <w:contextualSpacing/>
        <w:mirrorIndents/>
        <w:jc w:val="center"/>
        <w:rPr>
          <w:rFonts w:ascii="Arial" w:hAnsi="Arial" w:cs="Arial"/>
          <w:b/>
        </w:rPr>
      </w:pPr>
      <w:r>
        <w:rPr>
          <w:rFonts w:ascii="Arial" w:hAnsi="Arial" w:cs="Arial"/>
          <w:b/>
        </w:rPr>
        <w:t>RESOLUTIVOS.</w:t>
      </w:r>
    </w:p>
    <w:p w14:paraId="2CC28EE7" w14:textId="77777777" w:rsidR="00BE71B9" w:rsidRDefault="00BE71B9" w:rsidP="00056383">
      <w:pPr>
        <w:pStyle w:val="NormalWeb"/>
        <w:tabs>
          <w:tab w:val="left" w:pos="284"/>
          <w:tab w:val="center" w:pos="4419"/>
          <w:tab w:val="right" w:pos="8838"/>
        </w:tabs>
        <w:spacing w:before="0" w:beforeAutospacing="0" w:after="0" w:afterAutospacing="0" w:line="360" w:lineRule="auto"/>
        <w:contextualSpacing/>
        <w:mirrorIndents/>
        <w:jc w:val="both"/>
        <w:rPr>
          <w:rFonts w:ascii="Arial" w:hAnsi="Arial" w:cs="Arial"/>
          <w:b/>
        </w:rPr>
      </w:pPr>
    </w:p>
    <w:p w14:paraId="5569151F" w14:textId="3224CDF5" w:rsidR="007417F7" w:rsidRPr="006E30FA" w:rsidRDefault="00BE71B9" w:rsidP="00BE71B9">
      <w:pPr>
        <w:pStyle w:val="NormalWeb"/>
        <w:tabs>
          <w:tab w:val="left" w:pos="284"/>
          <w:tab w:val="center" w:pos="4419"/>
          <w:tab w:val="right" w:pos="8838"/>
        </w:tabs>
        <w:spacing w:before="0" w:beforeAutospacing="0" w:after="0" w:afterAutospacing="0" w:line="360" w:lineRule="auto"/>
        <w:contextualSpacing/>
        <w:mirrorIndents/>
        <w:jc w:val="both"/>
        <w:rPr>
          <w:rFonts w:ascii="Arial" w:hAnsi="Arial" w:cs="Arial"/>
        </w:rPr>
      </w:pPr>
      <w:r>
        <w:rPr>
          <w:rFonts w:ascii="Arial" w:hAnsi="Arial" w:cs="Arial"/>
          <w:b/>
        </w:rPr>
        <w:t>ÚNICO</w:t>
      </w:r>
      <w:r w:rsidR="00B224E5" w:rsidRPr="006E30FA">
        <w:rPr>
          <w:rFonts w:ascii="Arial" w:hAnsi="Arial" w:cs="Arial"/>
          <w:b/>
        </w:rPr>
        <w:t>.</w:t>
      </w:r>
      <w:r w:rsidR="00B224E5" w:rsidRPr="006E30FA">
        <w:rPr>
          <w:rFonts w:ascii="Arial" w:hAnsi="Arial" w:cs="Arial"/>
        </w:rPr>
        <w:t xml:space="preserve"> Se </w:t>
      </w:r>
      <w:r>
        <w:rPr>
          <w:rFonts w:ascii="Arial" w:hAnsi="Arial" w:cs="Arial"/>
          <w:b/>
          <w:bCs/>
        </w:rPr>
        <w:t xml:space="preserve">confirma </w:t>
      </w:r>
      <w:r>
        <w:rPr>
          <w:rFonts w:ascii="Arial" w:hAnsi="Arial" w:cs="Arial"/>
        </w:rPr>
        <w:t xml:space="preserve">la resolución impugnada. </w:t>
      </w:r>
    </w:p>
    <w:p w14:paraId="68395C82" w14:textId="77777777" w:rsidR="00B73F99" w:rsidRPr="006E30FA" w:rsidRDefault="00B73F99" w:rsidP="00056383">
      <w:pPr>
        <w:pStyle w:val="NormalWeb"/>
        <w:spacing w:before="0" w:beforeAutospacing="0" w:after="0" w:afterAutospacing="0" w:line="360" w:lineRule="auto"/>
        <w:mirrorIndents/>
        <w:jc w:val="both"/>
        <w:rPr>
          <w:rFonts w:ascii="Arial" w:hAnsi="Arial" w:cs="Arial"/>
          <w:b/>
        </w:rPr>
      </w:pPr>
    </w:p>
    <w:p w14:paraId="3B5C1C5B" w14:textId="0A5E8C4F" w:rsidR="00B224E5" w:rsidRPr="006E30FA" w:rsidRDefault="00B224E5" w:rsidP="00056383">
      <w:pPr>
        <w:pStyle w:val="NormalWeb"/>
        <w:spacing w:before="0" w:beforeAutospacing="0" w:after="0" w:afterAutospacing="0" w:line="360" w:lineRule="auto"/>
        <w:mirrorIndents/>
        <w:jc w:val="both"/>
        <w:rPr>
          <w:rFonts w:ascii="Arial" w:hAnsi="Arial" w:cs="Arial"/>
        </w:rPr>
      </w:pPr>
      <w:r w:rsidRPr="006E30FA">
        <w:rPr>
          <w:rFonts w:ascii="Arial" w:hAnsi="Arial" w:cs="Arial"/>
          <w:b/>
        </w:rPr>
        <w:t xml:space="preserve">NOTIFIQUESE </w:t>
      </w:r>
      <w:r w:rsidRPr="006E30FA">
        <w:rPr>
          <w:rFonts w:ascii="Arial" w:hAnsi="Arial" w:cs="Arial"/>
        </w:rPr>
        <w:t xml:space="preserve">y en su oportunidad, archívese el presente expediente como asunto concluido. </w:t>
      </w:r>
    </w:p>
    <w:p w14:paraId="549B9757" w14:textId="77777777" w:rsidR="00BE71B9" w:rsidRDefault="00BE71B9" w:rsidP="00056383">
      <w:pPr>
        <w:pStyle w:val="NormalWeb"/>
        <w:spacing w:before="0" w:beforeAutospacing="0" w:after="0" w:afterAutospacing="0" w:line="360" w:lineRule="auto"/>
        <w:contextualSpacing/>
        <w:mirrorIndents/>
        <w:jc w:val="both"/>
        <w:rPr>
          <w:rFonts w:ascii="Arial" w:hAnsi="Arial" w:cs="Arial"/>
        </w:rPr>
      </w:pPr>
    </w:p>
    <w:p w14:paraId="57B89D95" w14:textId="48FE0892" w:rsidR="00B224E5" w:rsidRPr="006E30FA" w:rsidRDefault="00B224E5" w:rsidP="00056383">
      <w:pPr>
        <w:pStyle w:val="NormalWeb"/>
        <w:spacing w:before="0" w:beforeAutospacing="0" w:after="0" w:afterAutospacing="0" w:line="360" w:lineRule="auto"/>
        <w:contextualSpacing/>
        <w:mirrorIndents/>
        <w:jc w:val="both"/>
        <w:rPr>
          <w:rFonts w:ascii="Arial" w:hAnsi="Arial" w:cs="Arial"/>
        </w:rPr>
      </w:pPr>
      <w:r w:rsidRPr="006E30FA">
        <w:rPr>
          <w:rFonts w:ascii="Arial" w:hAnsi="Arial" w:cs="Arial"/>
        </w:rPr>
        <w:t xml:space="preserve">Así lo resolvió el Tribunal Electoral del Estado de Aguascalientes, por </w:t>
      </w:r>
      <w:r w:rsidRPr="008830FC">
        <w:rPr>
          <w:rFonts w:ascii="Arial" w:hAnsi="Arial" w:cs="Arial"/>
          <w:bCs/>
        </w:rPr>
        <w:t>unanimidad</w:t>
      </w:r>
      <w:r w:rsidRPr="006E30FA">
        <w:rPr>
          <w:rFonts w:ascii="Arial" w:hAnsi="Arial" w:cs="Arial"/>
        </w:rPr>
        <w:t xml:space="preserve"> de votos de la Magistrada y Magistrados que lo integran, ante el Secretario General de Acuerdos ante el Secretario General de Acuerdos, quien autoriza y da fe.</w:t>
      </w:r>
    </w:p>
    <w:p w14:paraId="40EBB3C1" w14:textId="77777777" w:rsidR="00B224E5" w:rsidRPr="006E30FA" w:rsidRDefault="00B224E5" w:rsidP="00056383">
      <w:pPr>
        <w:pStyle w:val="NormalWeb"/>
        <w:spacing w:before="0" w:beforeAutospacing="0" w:after="0" w:afterAutospacing="0" w:line="360" w:lineRule="auto"/>
        <w:contextualSpacing/>
        <w:mirrorIndents/>
        <w:jc w:val="both"/>
        <w:rPr>
          <w:rFonts w:ascii="Arial" w:hAnsi="Arial" w:cs="Arial"/>
        </w:rPr>
      </w:pPr>
    </w:p>
    <w:tbl>
      <w:tblPr>
        <w:tblW w:w="8153" w:type="dxa"/>
        <w:jc w:val="center"/>
        <w:tblLayout w:type="fixed"/>
        <w:tblLook w:val="04A0" w:firstRow="1" w:lastRow="0" w:firstColumn="1" w:lastColumn="0" w:noHBand="0" w:noVBand="1"/>
      </w:tblPr>
      <w:tblGrid>
        <w:gridCol w:w="4053"/>
        <w:gridCol w:w="4100"/>
      </w:tblGrid>
      <w:tr w:rsidR="00B224E5" w:rsidRPr="006E30FA" w14:paraId="220E7936" w14:textId="77777777" w:rsidTr="00C46BA8">
        <w:trPr>
          <w:trHeight w:val="1129"/>
          <w:jc w:val="center"/>
        </w:trPr>
        <w:tc>
          <w:tcPr>
            <w:tcW w:w="8153" w:type="dxa"/>
            <w:gridSpan w:val="2"/>
          </w:tcPr>
          <w:p w14:paraId="2D5BCE87"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val="es-ES" w:eastAsia="en-US"/>
              </w:rPr>
            </w:pPr>
            <w:r w:rsidRPr="006E30FA">
              <w:rPr>
                <w:rFonts w:ascii="Arial" w:hAnsi="Arial" w:cs="Arial"/>
                <w:b/>
                <w:bCs/>
                <w:lang w:val="es-ES" w:eastAsia="en-US"/>
              </w:rPr>
              <w:t>MAGISTRADO PRESIDENTE</w:t>
            </w:r>
          </w:p>
          <w:p w14:paraId="360EDB99"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val="es-ES" w:eastAsia="en-US"/>
              </w:rPr>
            </w:pPr>
          </w:p>
          <w:p w14:paraId="730B4C27"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val="es-ES" w:eastAsia="en-US"/>
              </w:rPr>
            </w:pPr>
          </w:p>
          <w:p w14:paraId="1B6E78BA" w14:textId="4E739BFE"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val="es-ES" w:eastAsia="en-US"/>
              </w:rPr>
            </w:pPr>
            <w:r w:rsidRPr="006E30FA">
              <w:rPr>
                <w:rFonts w:ascii="Arial" w:hAnsi="Arial" w:cs="Arial"/>
                <w:b/>
                <w:bCs/>
                <w:lang w:val="es-ES" w:eastAsia="en-US"/>
              </w:rPr>
              <w:t>JORGE RAMÓN DÍAZ DE LEÓN GUTIÉRREZ</w:t>
            </w:r>
          </w:p>
          <w:p w14:paraId="781A3FCC"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val="es-ES" w:eastAsia="en-US"/>
              </w:rPr>
            </w:pPr>
          </w:p>
        </w:tc>
      </w:tr>
      <w:tr w:rsidR="00B224E5" w:rsidRPr="006E30FA" w14:paraId="552CD853" w14:textId="77777777" w:rsidTr="00C46BA8">
        <w:trPr>
          <w:trHeight w:val="1484"/>
          <w:jc w:val="center"/>
        </w:trPr>
        <w:tc>
          <w:tcPr>
            <w:tcW w:w="4053" w:type="dxa"/>
          </w:tcPr>
          <w:p w14:paraId="204CC916"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eastAsia="en-US"/>
              </w:rPr>
            </w:pPr>
            <w:r w:rsidRPr="006E30FA">
              <w:rPr>
                <w:rFonts w:ascii="Arial" w:hAnsi="Arial" w:cs="Arial"/>
                <w:b/>
                <w:bCs/>
                <w:lang w:eastAsia="en-US"/>
              </w:rPr>
              <w:t>MAGISTRADA</w:t>
            </w:r>
          </w:p>
          <w:p w14:paraId="3CCB1ADF"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eastAsia="en-US"/>
              </w:rPr>
            </w:pPr>
          </w:p>
          <w:p w14:paraId="56D2BA99"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eastAsia="en-US"/>
              </w:rPr>
            </w:pPr>
          </w:p>
          <w:p w14:paraId="6D4D5466"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val="es-ES" w:eastAsia="en-US"/>
              </w:rPr>
            </w:pPr>
            <w:r w:rsidRPr="006E30FA">
              <w:rPr>
                <w:rFonts w:ascii="Arial" w:hAnsi="Arial" w:cs="Arial"/>
                <w:b/>
                <w:bCs/>
                <w:lang w:val="es-ES" w:eastAsia="en-US"/>
              </w:rPr>
              <w:t xml:space="preserve">CLAUDIA ELOISA DÍAZ </w:t>
            </w:r>
          </w:p>
          <w:p w14:paraId="4AABBE92"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eastAsia="en-US"/>
              </w:rPr>
            </w:pPr>
            <w:r w:rsidRPr="006E30FA">
              <w:rPr>
                <w:rFonts w:ascii="Arial" w:hAnsi="Arial" w:cs="Arial"/>
                <w:b/>
                <w:bCs/>
                <w:lang w:val="es-ES" w:eastAsia="en-US"/>
              </w:rPr>
              <w:t>DE LEÓN GONZÁLEZ</w:t>
            </w:r>
          </w:p>
        </w:tc>
        <w:tc>
          <w:tcPr>
            <w:tcW w:w="4100" w:type="dxa"/>
          </w:tcPr>
          <w:p w14:paraId="39BAC812"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eastAsia="en-US"/>
              </w:rPr>
            </w:pPr>
            <w:r w:rsidRPr="006E30FA">
              <w:rPr>
                <w:rFonts w:ascii="Arial" w:hAnsi="Arial" w:cs="Arial"/>
                <w:b/>
                <w:bCs/>
                <w:lang w:eastAsia="en-US"/>
              </w:rPr>
              <w:t>MAGISTRADO</w:t>
            </w:r>
          </w:p>
          <w:p w14:paraId="4D9A3CFF"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eastAsia="en-US"/>
              </w:rPr>
            </w:pPr>
          </w:p>
          <w:p w14:paraId="3122D00A"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eastAsia="en-US"/>
              </w:rPr>
            </w:pPr>
          </w:p>
          <w:p w14:paraId="1F93DB76"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eastAsia="en-US"/>
              </w:rPr>
            </w:pPr>
            <w:r w:rsidRPr="006E30FA">
              <w:rPr>
                <w:rFonts w:ascii="Arial" w:hAnsi="Arial" w:cs="Arial"/>
                <w:b/>
                <w:bCs/>
                <w:lang w:eastAsia="en-US"/>
              </w:rPr>
              <w:t>HÉCTOR SALVADOR HERNÁNDEZ GALLEGOS</w:t>
            </w:r>
          </w:p>
          <w:p w14:paraId="065710D1"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eastAsia="en-US"/>
              </w:rPr>
            </w:pPr>
          </w:p>
        </w:tc>
      </w:tr>
      <w:tr w:rsidR="00B224E5" w:rsidRPr="006E30FA" w14:paraId="5F2B5AB6" w14:textId="77777777" w:rsidTr="00C46BA8">
        <w:trPr>
          <w:trHeight w:val="881"/>
          <w:jc w:val="center"/>
        </w:trPr>
        <w:tc>
          <w:tcPr>
            <w:tcW w:w="8153" w:type="dxa"/>
            <w:gridSpan w:val="2"/>
          </w:tcPr>
          <w:p w14:paraId="5728477B"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eastAsia="en-US"/>
              </w:rPr>
            </w:pPr>
            <w:r w:rsidRPr="006E30FA">
              <w:rPr>
                <w:rFonts w:ascii="Arial" w:hAnsi="Arial" w:cs="Arial"/>
                <w:b/>
                <w:bCs/>
                <w:lang w:eastAsia="en-US"/>
              </w:rPr>
              <w:t>SECRETARIO GENERAL DE ACUERDOS</w:t>
            </w:r>
          </w:p>
          <w:p w14:paraId="3F4B1685"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val="es-ES" w:eastAsia="en-US"/>
              </w:rPr>
            </w:pPr>
          </w:p>
          <w:p w14:paraId="3EABC82E" w14:textId="77777777" w:rsidR="00B224E5" w:rsidRPr="006E30FA" w:rsidRDefault="00B224E5" w:rsidP="00056383">
            <w:pPr>
              <w:pStyle w:val="NormalWeb"/>
              <w:spacing w:before="0" w:beforeAutospacing="0" w:after="0" w:afterAutospacing="0" w:line="360" w:lineRule="auto"/>
              <w:ind w:right="49"/>
              <w:contextualSpacing/>
              <w:mirrorIndents/>
              <w:jc w:val="center"/>
              <w:rPr>
                <w:rFonts w:ascii="Arial" w:hAnsi="Arial" w:cs="Arial"/>
                <w:b/>
                <w:bCs/>
                <w:lang w:val="es-ES" w:eastAsia="en-US"/>
              </w:rPr>
            </w:pPr>
            <w:r w:rsidRPr="006E30FA">
              <w:rPr>
                <w:rFonts w:ascii="Arial" w:hAnsi="Arial" w:cs="Arial"/>
                <w:b/>
                <w:bCs/>
                <w:lang w:val="es-ES" w:eastAsia="en-US"/>
              </w:rPr>
              <w:t>JESÚS OCIEL BAENA SAUCEDO</w:t>
            </w:r>
          </w:p>
        </w:tc>
      </w:tr>
    </w:tbl>
    <w:p w14:paraId="16650981" w14:textId="77777777" w:rsidR="00BD4C32" w:rsidRPr="006E30FA" w:rsidRDefault="00BD4C32" w:rsidP="00056383">
      <w:pPr>
        <w:spacing w:after="0"/>
        <w:jc w:val="both"/>
        <w:rPr>
          <w:rFonts w:ascii="Arial" w:hAnsi="Arial" w:cs="Arial"/>
          <w:sz w:val="24"/>
          <w:szCs w:val="24"/>
        </w:rPr>
      </w:pPr>
    </w:p>
    <w:p w14:paraId="244EAA63" w14:textId="77777777" w:rsidR="00C46BA8" w:rsidRDefault="00C46BA8" w:rsidP="00056383">
      <w:pPr>
        <w:spacing w:after="0"/>
        <w:jc w:val="both"/>
        <w:rPr>
          <w:rFonts w:ascii="Arial" w:hAnsi="Arial" w:cs="Arial"/>
          <w:sz w:val="24"/>
          <w:szCs w:val="24"/>
        </w:rPr>
      </w:pPr>
    </w:p>
    <w:p w14:paraId="52CD55A4" w14:textId="77777777" w:rsidR="00345B3F" w:rsidRDefault="00345B3F" w:rsidP="00056383">
      <w:pPr>
        <w:spacing w:after="0"/>
        <w:jc w:val="both"/>
        <w:rPr>
          <w:rFonts w:ascii="Arial" w:hAnsi="Arial" w:cs="Arial"/>
          <w:sz w:val="24"/>
          <w:szCs w:val="24"/>
        </w:rPr>
      </w:pPr>
    </w:p>
    <w:p w14:paraId="0DE75902" w14:textId="77777777" w:rsidR="00345B3F" w:rsidRDefault="00345B3F" w:rsidP="00056383">
      <w:pPr>
        <w:spacing w:after="0"/>
        <w:jc w:val="both"/>
        <w:rPr>
          <w:rFonts w:ascii="Arial" w:hAnsi="Arial" w:cs="Arial"/>
          <w:sz w:val="24"/>
          <w:szCs w:val="24"/>
        </w:rPr>
      </w:pPr>
    </w:p>
    <w:p w14:paraId="7DAB6097" w14:textId="77777777" w:rsidR="00345B3F" w:rsidRDefault="00345B3F" w:rsidP="00056383">
      <w:pPr>
        <w:spacing w:after="0"/>
        <w:jc w:val="both"/>
        <w:rPr>
          <w:rFonts w:ascii="Arial" w:hAnsi="Arial" w:cs="Arial"/>
          <w:sz w:val="24"/>
          <w:szCs w:val="24"/>
        </w:rPr>
      </w:pPr>
    </w:p>
    <w:p w14:paraId="11ED72DB" w14:textId="77777777" w:rsidR="00345B3F" w:rsidRDefault="00345B3F" w:rsidP="00056383">
      <w:pPr>
        <w:spacing w:after="0"/>
        <w:jc w:val="both"/>
        <w:rPr>
          <w:rFonts w:ascii="Arial" w:hAnsi="Arial" w:cs="Arial"/>
          <w:sz w:val="24"/>
          <w:szCs w:val="24"/>
        </w:rPr>
      </w:pPr>
    </w:p>
    <w:p w14:paraId="2B249B7C" w14:textId="77777777" w:rsidR="00345B3F" w:rsidRDefault="00345B3F" w:rsidP="00056383">
      <w:pPr>
        <w:spacing w:after="0"/>
        <w:jc w:val="both"/>
        <w:rPr>
          <w:rFonts w:ascii="Arial" w:hAnsi="Arial" w:cs="Arial"/>
          <w:sz w:val="24"/>
          <w:szCs w:val="24"/>
        </w:rPr>
      </w:pPr>
    </w:p>
    <w:p w14:paraId="2ACCE2A1" w14:textId="77777777" w:rsidR="00345B3F" w:rsidRDefault="00345B3F" w:rsidP="00056383">
      <w:pPr>
        <w:spacing w:after="0"/>
        <w:jc w:val="both"/>
        <w:rPr>
          <w:rFonts w:ascii="Arial" w:hAnsi="Arial" w:cs="Arial"/>
          <w:sz w:val="24"/>
          <w:szCs w:val="24"/>
        </w:rPr>
      </w:pPr>
    </w:p>
    <w:p w14:paraId="6FB7D38E" w14:textId="77777777" w:rsidR="00345B3F" w:rsidRDefault="00345B3F" w:rsidP="00056383">
      <w:pPr>
        <w:spacing w:after="0"/>
        <w:jc w:val="both"/>
        <w:rPr>
          <w:rFonts w:ascii="Arial" w:hAnsi="Arial" w:cs="Arial"/>
          <w:sz w:val="24"/>
          <w:szCs w:val="24"/>
        </w:rPr>
      </w:pPr>
    </w:p>
    <w:p w14:paraId="68E865AE" w14:textId="77777777" w:rsidR="00345B3F" w:rsidRDefault="00345B3F" w:rsidP="00056383">
      <w:pPr>
        <w:spacing w:after="0"/>
        <w:jc w:val="both"/>
        <w:rPr>
          <w:rFonts w:ascii="Arial" w:hAnsi="Arial" w:cs="Arial"/>
          <w:sz w:val="24"/>
          <w:szCs w:val="24"/>
        </w:rPr>
      </w:pPr>
    </w:p>
    <w:p w14:paraId="106570FA" w14:textId="77777777" w:rsidR="00345B3F" w:rsidRDefault="00345B3F" w:rsidP="00056383">
      <w:pPr>
        <w:spacing w:after="0"/>
        <w:jc w:val="both"/>
        <w:rPr>
          <w:rFonts w:ascii="Arial" w:hAnsi="Arial" w:cs="Arial"/>
          <w:sz w:val="24"/>
          <w:szCs w:val="24"/>
        </w:rPr>
      </w:pPr>
    </w:p>
    <w:p w14:paraId="439193E2" w14:textId="77777777" w:rsidR="00345B3F" w:rsidRDefault="00345B3F" w:rsidP="00056383">
      <w:pPr>
        <w:spacing w:after="0"/>
        <w:jc w:val="both"/>
        <w:rPr>
          <w:rFonts w:ascii="Arial" w:hAnsi="Arial" w:cs="Arial"/>
          <w:sz w:val="24"/>
          <w:szCs w:val="24"/>
        </w:rPr>
      </w:pPr>
    </w:p>
    <w:p w14:paraId="1D6EDD80" w14:textId="77777777" w:rsidR="00345B3F" w:rsidRDefault="00345B3F" w:rsidP="00056383">
      <w:pPr>
        <w:spacing w:after="0"/>
        <w:jc w:val="both"/>
        <w:rPr>
          <w:rFonts w:ascii="Arial" w:hAnsi="Arial" w:cs="Arial"/>
          <w:sz w:val="24"/>
          <w:szCs w:val="24"/>
        </w:rPr>
      </w:pPr>
    </w:p>
    <w:p w14:paraId="0E581155" w14:textId="77777777" w:rsidR="00345B3F" w:rsidRDefault="00345B3F" w:rsidP="00056383">
      <w:pPr>
        <w:spacing w:after="0"/>
        <w:jc w:val="both"/>
        <w:rPr>
          <w:rFonts w:ascii="Arial" w:hAnsi="Arial" w:cs="Arial"/>
          <w:sz w:val="24"/>
          <w:szCs w:val="24"/>
        </w:rPr>
      </w:pPr>
    </w:p>
    <w:p w14:paraId="3395DC1B" w14:textId="77777777" w:rsidR="00345B3F" w:rsidRDefault="00345B3F" w:rsidP="00056383">
      <w:pPr>
        <w:spacing w:after="0"/>
        <w:jc w:val="both"/>
        <w:rPr>
          <w:rFonts w:ascii="Arial" w:hAnsi="Arial" w:cs="Arial"/>
          <w:sz w:val="24"/>
          <w:szCs w:val="24"/>
        </w:rPr>
      </w:pPr>
    </w:p>
    <w:p w14:paraId="1D43D555" w14:textId="639DB0D6" w:rsidR="00D42224" w:rsidRPr="006E30FA" w:rsidRDefault="00BD4C32" w:rsidP="00056383">
      <w:pPr>
        <w:spacing w:after="0"/>
        <w:jc w:val="both"/>
        <w:rPr>
          <w:rFonts w:ascii="Arial" w:hAnsi="Arial" w:cs="Arial"/>
          <w:sz w:val="24"/>
          <w:szCs w:val="24"/>
        </w:rPr>
      </w:pPr>
      <w:r w:rsidRPr="006E30FA">
        <w:rPr>
          <w:rFonts w:ascii="Arial" w:hAnsi="Arial" w:cs="Arial"/>
          <w:sz w:val="24"/>
          <w:szCs w:val="24"/>
        </w:rPr>
        <w:t xml:space="preserve">El suscrito licenciado Jesús Ociel Baena Saucedo, Secretario General de Acuerdos del Tribunal Electoral del Estado de Aguascalientes, en ejercicio de las facultades que me confiere el artículo 28, del Reglamento Interior del Tribunal Electoral del Estado de Aguascalientes, hago constar que las firmas que obran en la presente página, corresponden a la sentencia definitiva emitida por el Pleno del Tribunal Electoral del Estado de Aguascalientes, dictada el </w:t>
      </w:r>
      <w:r w:rsidR="00345B3F">
        <w:rPr>
          <w:rFonts w:ascii="Arial" w:hAnsi="Arial" w:cs="Arial"/>
          <w:sz w:val="24"/>
          <w:szCs w:val="24"/>
        </w:rPr>
        <w:t>once</w:t>
      </w:r>
      <w:r w:rsidR="005B6621">
        <w:rPr>
          <w:rFonts w:ascii="Arial" w:hAnsi="Arial" w:cs="Arial"/>
          <w:sz w:val="24"/>
          <w:szCs w:val="24"/>
        </w:rPr>
        <w:t xml:space="preserve"> </w:t>
      </w:r>
      <w:r w:rsidRPr="006E30FA">
        <w:rPr>
          <w:rFonts w:ascii="Arial" w:hAnsi="Arial" w:cs="Arial"/>
          <w:sz w:val="24"/>
          <w:szCs w:val="24"/>
        </w:rPr>
        <w:t xml:space="preserve">de </w:t>
      </w:r>
      <w:r w:rsidR="005B6621">
        <w:rPr>
          <w:rFonts w:ascii="Arial" w:hAnsi="Arial" w:cs="Arial"/>
          <w:sz w:val="24"/>
          <w:szCs w:val="24"/>
        </w:rPr>
        <w:t xml:space="preserve">diciembre </w:t>
      </w:r>
      <w:r w:rsidRPr="006E30FA">
        <w:rPr>
          <w:rFonts w:ascii="Arial" w:hAnsi="Arial" w:cs="Arial"/>
          <w:sz w:val="24"/>
          <w:szCs w:val="24"/>
        </w:rPr>
        <w:t>de dos mil diecinueve, dentro del Recurso de Apelación identificado con la clave TEEA-RAP-0</w:t>
      </w:r>
      <w:r w:rsidR="008E1A9E" w:rsidRPr="006E30FA">
        <w:rPr>
          <w:rFonts w:ascii="Arial" w:hAnsi="Arial" w:cs="Arial"/>
          <w:sz w:val="24"/>
          <w:szCs w:val="24"/>
        </w:rPr>
        <w:t>2</w:t>
      </w:r>
      <w:r w:rsidR="00C46BA8">
        <w:rPr>
          <w:rFonts w:ascii="Arial" w:hAnsi="Arial" w:cs="Arial"/>
          <w:sz w:val="24"/>
          <w:szCs w:val="24"/>
        </w:rPr>
        <w:t>5</w:t>
      </w:r>
      <w:r w:rsidRPr="006E30FA">
        <w:rPr>
          <w:rFonts w:ascii="Arial" w:hAnsi="Arial" w:cs="Arial"/>
          <w:sz w:val="24"/>
          <w:szCs w:val="24"/>
        </w:rPr>
        <w:t>/2019; l</w:t>
      </w:r>
      <w:r w:rsidR="00C46BA8">
        <w:rPr>
          <w:rFonts w:ascii="Arial" w:hAnsi="Arial" w:cs="Arial"/>
          <w:sz w:val="24"/>
          <w:szCs w:val="24"/>
        </w:rPr>
        <w:t>a</w:t>
      </w:r>
      <w:r w:rsidRPr="006E30FA">
        <w:rPr>
          <w:rFonts w:ascii="Arial" w:hAnsi="Arial" w:cs="Arial"/>
          <w:sz w:val="24"/>
          <w:szCs w:val="24"/>
        </w:rPr>
        <w:t xml:space="preserve"> cual consta de </w:t>
      </w:r>
      <w:r w:rsidR="005B6621" w:rsidRPr="00345B3F">
        <w:rPr>
          <w:rFonts w:ascii="Arial" w:hAnsi="Arial" w:cs="Arial"/>
          <w:sz w:val="24"/>
          <w:szCs w:val="24"/>
        </w:rPr>
        <w:t>dieciséis</w:t>
      </w:r>
      <w:r w:rsidR="005B6621">
        <w:rPr>
          <w:rFonts w:ascii="Arial" w:hAnsi="Arial" w:cs="Arial"/>
          <w:sz w:val="24"/>
          <w:szCs w:val="24"/>
        </w:rPr>
        <w:t xml:space="preserve"> </w:t>
      </w:r>
      <w:r w:rsidRPr="006E30FA">
        <w:rPr>
          <w:rFonts w:ascii="Arial" w:hAnsi="Arial" w:cs="Arial"/>
          <w:sz w:val="24"/>
          <w:szCs w:val="24"/>
        </w:rPr>
        <w:t xml:space="preserve">páginas, incluida la presente. </w:t>
      </w:r>
      <w:r w:rsidRPr="006E30FA">
        <w:rPr>
          <w:rFonts w:ascii="Arial" w:hAnsi="Arial" w:cs="Arial"/>
          <w:b/>
          <w:bCs/>
          <w:sz w:val="24"/>
          <w:szCs w:val="24"/>
        </w:rPr>
        <w:t>Conste</w:t>
      </w:r>
      <w:r w:rsidRPr="006E30FA">
        <w:rPr>
          <w:rFonts w:ascii="Arial" w:hAnsi="Arial" w:cs="Arial"/>
          <w:sz w:val="24"/>
          <w:szCs w:val="24"/>
        </w:rPr>
        <w:t>.</w:t>
      </w:r>
    </w:p>
    <w:sectPr w:rsidR="00D42224" w:rsidRPr="006E30FA" w:rsidSect="00345B3F">
      <w:headerReference w:type="even" r:id="rId8"/>
      <w:headerReference w:type="default" r:id="rId9"/>
      <w:footerReference w:type="even" r:id="rId10"/>
      <w:footerReference w:type="default" r:id="rId11"/>
      <w:headerReference w:type="first" r:id="rId12"/>
      <w:footerReference w:type="first" r:id="rId13"/>
      <w:pgSz w:w="12240" w:h="20160" w:code="5"/>
      <w:pgMar w:top="2977" w:right="1134"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FDD9F" w14:textId="77777777" w:rsidR="005A5946" w:rsidRDefault="005A5946" w:rsidP="00B224E5">
      <w:pPr>
        <w:spacing w:after="0" w:line="240" w:lineRule="auto"/>
      </w:pPr>
      <w:r>
        <w:separator/>
      </w:r>
    </w:p>
  </w:endnote>
  <w:endnote w:type="continuationSeparator" w:id="0">
    <w:p w14:paraId="5346EFA5" w14:textId="77777777" w:rsidR="005A5946" w:rsidRDefault="005A5946" w:rsidP="00B2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4139E" w14:textId="77777777" w:rsidR="00FF02AB" w:rsidRDefault="00FF02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77AC" w14:textId="77777777" w:rsidR="00FF02AB" w:rsidRDefault="00FF02A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09FA" w14:textId="77777777" w:rsidR="00FF02AB" w:rsidRDefault="00FF02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37EE1" w14:textId="77777777" w:rsidR="005A5946" w:rsidRDefault="005A5946" w:rsidP="00B224E5">
      <w:pPr>
        <w:spacing w:after="0" w:line="240" w:lineRule="auto"/>
      </w:pPr>
      <w:r>
        <w:separator/>
      </w:r>
    </w:p>
  </w:footnote>
  <w:footnote w:type="continuationSeparator" w:id="0">
    <w:p w14:paraId="76618FFA" w14:textId="77777777" w:rsidR="005A5946" w:rsidRDefault="005A5946" w:rsidP="00B224E5">
      <w:pPr>
        <w:spacing w:after="0" w:line="240" w:lineRule="auto"/>
      </w:pPr>
      <w:r>
        <w:continuationSeparator/>
      </w:r>
    </w:p>
  </w:footnote>
  <w:footnote w:id="1">
    <w:p w14:paraId="24BE0BDF" w14:textId="77777777" w:rsidR="00104A9B" w:rsidRPr="008842DD" w:rsidRDefault="00104A9B" w:rsidP="007417F7">
      <w:pPr>
        <w:pStyle w:val="Textonotapie"/>
        <w:ind w:right="-234"/>
        <w:jc w:val="both"/>
        <w:rPr>
          <w:rFonts w:ascii="Arial Nova" w:hAnsi="Arial Nova" w:cs="Arial"/>
          <w:sz w:val="16"/>
          <w:szCs w:val="16"/>
        </w:rPr>
      </w:pPr>
      <w:r w:rsidRPr="008842DD">
        <w:rPr>
          <w:rStyle w:val="Refdenotaalpie"/>
          <w:rFonts w:ascii="Arial Nova" w:hAnsi="Arial Nova" w:cs="Arial"/>
          <w:sz w:val="16"/>
          <w:szCs w:val="16"/>
        </w:rPr>
        <w:footnoteRef/>
      </w:r>
      <w:r w:rsidRPr="008842DD">
        <w:rPr>
          <w:rFonts w:ascii="Arial Nova" w:hAnsi="Arial Nova" w:cs="Arial"/>
          <w:sz w:val="16"/>
          <w:szCs w:val="16"/>
        </w:rPr>
        <w:t xml:space="preserve">Acuerdo del Consejo General del Instituto Estatal Electoral, mediante el cual se asignan las regidurías por el Principio de Representación Proporcional para cada uno de los Ayuntamientos del Estado de Aguascalientes, en el Proceso Electoral Local 2018-2019. Consultable En: </w:t>
      </w:r>
      <w:hyperlink r:id="rId1" w:history="1">
        <w:r w:rsidRPr="008842DD">
          <w:rPr>
            <w:rStyle w:val="Hipervnculo"/>
            <w:rFonts w:ascii="Arial Nova" w:hAnsi="Arial Nova" w:cs="Arial"/>
            <w:sz w:val="16"/>
            <w:szCs w:val="16"/>
          </w:rPr>
          <w:t>https://www.ieeags.org.mx/detalles/archivos/orden_dia/4349_2019-06-09.pdf</w:t>
        </w:r>
      </w:hyperlink>
    </w:p>
  </w:footnote>
  <w:footnote w:id="2">
    <w:p w14:paraId="53EEFEB0" w14:textId="6A688C3B" w:rsidR="002F5E72" w:rsidRPr="002F5E72" w:rsidRDefault="002F5E72">
      <w:pPr>
        <w:pStyle w:val="Textonotapie"/>
        <w:rPr>
          <w:rFonts w:ascii="Arial" w:hAnsi="Arial" w:cs="Arial"/>
        </w:rPr>
      </w:pPr>
      <w:r w:rsidRPr="002F5E72">
        <w:rPr>
          <w:rStyle w:val="Refdenotaalpie"/>
          <w:rFonts w:ascii="Arial" w:hAnsi="Arial" w:cs="Arial"/>
        </w:rPr>
        <w:footnoteRef/>
      </w:r>
      <w:r w:rsidRPr="002F5E72">
        <w:rPr>
          <w:rFonts w:ascii="Arial" w:hAnsi="Arial" w:cs="Arial"/>
        </w:rPr>
        <w:t xml:space="preserve"> Consultable en la compilación Oficial del Tribunal Electoral del Poder Judicial de la Federación Jurisprudencia y Tesis Relevantes 1997-2005., páginas 300 y 301.</w:t>
      </w:r>
    </w:p>
  </w:footnote>
  <w:footnote w:id="3">
    <w:p w14:paraId="2AC16FB3" w14:textId="636EFF3A" w:rsidR="00436E7D" w:rsidRDefault="00436E7D" w:rsidP="00436E7D">
      <w:pPr>
        <w:pStyle w:val="NormalWeb"/>
        <w:tabs>
          <w:tab w:val="center" w:pos="284"/>
          <w:tab w:val="right" w:pos="9497"/>
        </w:tabs>
        <w:spacing w:before="0" w:beforeAutospacing="0" w:after="0" w:afterAutospacing="0"/>
        <w:contextualSpacing/>
        <w:mirrorIndents/>
        <w:jc w:val="both"/>
      </w:pPr>
      <w:r w:rsidRPr="00436E7D">
        <w:rPr>
          <w:rStyle w:val="Refdenotaalpie"/>
          <w:rFonts w:ascii="Arial" w:hAnsi="Arial" w:cs="Arial"/>
          <w:sz w:val="20"/>
          <w:szCs w:val="20"/>
        </w:rPr>
        <w:footnoteRef/>
      </w:r>
      <w:r w:rsidRPr="00436E7D">
        <w:rPr>
          <w:rFonts w:ascii="Arial" w:hAnsi="Arial" w:cs="Arial"/>
          <w:sz w:val="20"/>
          <w:szCs w:val="20"/>
        </w:rPr>
        <w:t xml:space="preserve"> </w:t>
      </w:r>
      <w:r w:rsidRPr="00436E7D">
        <w:rPr>
          <w:rFonts w:ascii="Arial" w:hAnsi="Arial" w:cs="Arial"/>
          <w:color w:val="000000" w:themeColor="text1"/>
          <w:sz w:val="20"/>
          <w:szCs w:val="20"/>
        </w:rPr>
        <w:t xml:space="preserve">En dicha resolución se determinó que la libertad configurativa aplicada por el legislador local, atiende a la representatividad real que se logra a través de la elección de diputados o en su caso de gobernador. </w:t>
      </w:r>
    </w:p>
  </w:footnote>
  <w:footnote w:id="4">
    <w:p w14:paraId="62277BEC" w14:textId="77777777" w:rsidR="00EF3500" w:rsidRPr="00436E7D" w:rsidRDefault="00EF3500" w:rsidP="00EF3500">
      <w:pPr>
        <w:pStyle w:val="Textonotapie"/>
        <w:jc w:val="both"/>
        <w:rPr>
          <w:rFonts w:ascii="Arial" w:hAnsi="Arial" w:cs="Arial"/>
        </w:rPr>
      </w:pPr>
      <w:r w:rsidRPr="00436E7D">
        <w:rPr>
          <w:rStyle w:val="Refdenotaalpie"/>
          <w:rFonts w:ascii="Arial" w:hAnsi="Arial" w:cs="Arial"/>
        </w:rPr>
        <w:footnoteRef/>
      </w:r>
      <w:r w:rsidRPr="00436E7D">
        <w:rPr>
          <w:rFonts w:ascii="Arial" w:hAnsi="Arial" w:cs="Arial"/>
        </w:rPr>
        <w:t xml:space="preserve"> Artículo 33, fracción IX del Código Electoral del Estado de Aguascalientes. </w:t>
      </w:r>
    </w:p>
  </w:footnote>
  <w:footnote w:id="5">
    <w:p w14:paraId="7C6651AD" w14:textId="79175628" w:rsidR="00C710DC" w:rsidRDefault="00C710DC">
      <w:pPr>
        <w:pStyle w:val="Textonotapie"/>
      </w:pPr>
      <w:r>
        <w:rPr>
          <w:rStyle w:val="Refdenotaalpie"/>
        </w:rPr>
        <w:footnoteRef/>
      </w:r>
      <w:r>
        <w:t xml:space="preserve"> Que como ya se precisó, para el caso de Aguascalientes debe ser para Gobernador o diputado local.</w:t>
      </w:r>
    </w:p>
  </w:footnote>
  <w:footnote w:id="6">
    <w:p w14:paraId="75795B92" w14:textId="620AAF54" w:rsidR="00AC56A9" w:rsidRDefault="00AC56A9">
      <w:pPr>
        <w:pStyle w:val="Textonotapie"/>
      </w:pPr>
      <w:r>
        <w:rPr>
          <w:rStyle w:val="Refdenotaalpie"/>
        </w:rPr>
        <w:footnoteRef/>
      </w:r>
      <w:r>
        <w:t xml:space="preserve"> Artículo 33 del Código Electoral.</w:t>
      </w:r>
    </w:p>
  </w:footnote>
  <w:footnote w:id="7">
    <w:p w14:paraId="5D9A1B4C" w14:textId="77777777" w:rsidR="002873D2" w:rsidRPr="002873D2" w:rsidRDefault="002873D2" w:rsidP="002873D2">
      <w:pPr>
        <w:pStyle w:val="NormalWeb"/>
        <w:tabs>
          <w:tab w:val="right" w:pos="0"/>
        </w:tabs>
        <w:spacing w:before="0" w:beforeAutospacing="0" w:after="0" w:afterAutospacing="0" w:line="360" w:lineRule="auto"/>
        <w:contextualSpacing/>
        <w:mirrorIndents/>
        <w:jc w:val="both"/>
        <w:rPr>
          <w:rFonts w:ascii="Arial" w:hAnsi="Arial" w:cs="Arial"/>
          <w:sz w:val="20"/>
          <w:szCs w:val="20"/>
        </w:rPr>
      </w:pPr>
      <w:r w:rsidRPr="002873D2">
        <w:rPr>
          <w:rStyle w:val="Refdenotaalpie"/>
          <w:rFonts w:ascii="Arial" w:hAnsi="Arial" w:cs="Arial"/>
          <w:sz w:val="20"/>
          <w:szCs w:val="20"/>
        </w:rPr>
        <w:footnoteRef/>
      </w:r>
      <w:r w:rsidRPr="002873D2">
        <w:rPr>
          <w:rFonts w:ascii="Arial" w:hAnsi="Arial" w:cs="Arial"/>
          <w:sz w:val="20"/>
          <w:szCs w:val="20"/>
        </w:rPr>
        <w:t xml:space="preserve"> Nota: Todo lo resaltado es nuestro.</w:t>
      </w:r>
    </w:p>
    <w:p w14:paraId="27DB9594" w14:textId="7C1622A0" w:rsidR="002873D2" w:rsidRDefault="002873D2">
      <w:pPr>
        <w:pStyle w:val="Textonotapie"/>
      </w:pPr>
    </w:p>
  </w:footnote>
  <w:footnote w:id="8">
    <w:p w14:paraId="26B40850" w14:textId="2AE35FBA" w:rsidR="00F236DC" w:rsidRPr="002B4170" w:rsidRDefault="00F236DC" w:rsidP="00F236DC">
      <w:pPr>
        <w:pStyle w:val="Textonotapie"/>
        <w:jc w:val="both"/>
        <w:rPr>
          <w:rFonts w:ascii="Arial" w:hAnsi="Arial" w:cs="Arial"/>
        </w:rPr>
      </w:pPr>
      <w:r w:rsidRPr="002B4170">
        <w:rPr>
          <w:rStyle w:val="Refdenotaalpie"/>
          <w:rFonts w:ascii="Arial" w:hAnsi="Arial" w:cs="Arial"/>
        </w:rPr>
        <w:footnoteRef/>
      </w:r>
      <w:r w:rsidRPr="002B4170">
        <w:rPr>
          <w:rFonts w:ascii="Arial" w:hAnsi="Arial" w:cs="Arial"/>
        </w:rPr>
        <w:t xml:space="preserve"> El cual inició el</w:t>
      </w:r>
      <w:r w:rsidR="002B4170" w:rsidRPr="002B4170">
        <w:rPr>
          <w:rFonts w:ascii="Arial" w:hAnsi="Arial" w:cs="Arial"/>
        </w:rPr>
        <w:t xml:space="preserve"> seis de octubre de dos mil diecisiete </w:t>
      </w:r>
      <w:r w:rsidRPr="002B4170">
        <w:rPr>
          <w:rFonts w:ascii="Arial" w:hAnsi="Arial" w:cs="Arial"/>
        </w:rPr>
        <w:t xml:space="preserve">y la jornada electoral fue el primero de julio de dos mil dieciocho, según se desprende del acuerdo </w:t>
      </w:r>
      <w:r w:rsidR="002B4170" w:rsidRPr="002B4170">
        <w:rPr>
          <w:rFonts w:ascii="Arial" w:hAnsi="Arial" w:cs="Arial"/>
        </w:rPr>
        <w:t>CG-A-30/17,</w:t>
      </w:r>
      <w:r w:rsidRPr="002B4170">
        <w:rPr>
          <w:rFonts w:ascii="Arial" w:hAnsi="Arial" w:cs="Arial"/>
        </w:rPr>
        <w:t xml:space="preserve"> consultable en la liga electrónica.</w:t>
      </w:r>
      <w:r w:rsidR="002B4170" w:rsidRPr="002B4170">
        <w:rPr>
          <w:rFonts w:ascii="Arial" w:hAnsi="Arial" w:cs="Arial"/>
        </w:rPr>
        <w:t xml:space="preserve"> </w:t>
      </w:r>
      <w:hyperlink r:id="rId2" w:history="1">
        <w:r w:rsidR="002B4170" w:rsidRPr="002B4170">
          <w:rPr>
            <w:rStyle w:val="Hipervnculo"/>
            <w:rFonts w:ascii="Arial" w:hAnsi="Arial" w:cs="Arial"/>
          </w:rPr>
          <w:t>https://www.ieeags.org.mx/1_prensa/AE_PEL2017_18.pdf</w:t>
        </w:r>
      </w:hyperlink>
    </w:p>
  </w:footnote>
  <w:footnote w:id="9">
    <w:p w14:paraId="2CCC4BC3" w14:textId="3749BE18" w:rsidR="00D635E1" w:rsidRPr="00ED7D77" w:rsidRDefault="00D635E1" w:rsidP="00D635E1">
      <w:pPr>
        <w:spacing w:after="0" w:line="240" w:lineRule="auto"/>
        <w:jc w:val="both"/>
        <w:rPr>
          <w:rFonts w:ascii="Arial" w:hAnsi="Arial" w:cs="Arial"/>
          <w:sz w:val="20"/>
          <w:szCs w:val="20"/>
        </w:rPr>
      </w:pPr>
      <w:r w:rsidRPr="00ED7D77">
        <w:rPr>
          <w:rStyle w:val="Refdenotaalpie"/>
          <w:rFonts w:ascii="Arial" w:hAnsi="Arial" w:cs="Arial"/>
          <w:sz w:val="20"/>
          <w:szCs w:val="20"/>
        </w:rPr>
        <w:footnoteRef/>
      </w:r>
      <w:r w:rsidR="00BA78BE">
        <w:rPr>
          <w:rFonts w:ascii="Arial" w:hAnsi="Arial" w:cs="Arial"/>
          <w:sz w:val="20"/>
          <w:szCs w:val="20"/>
        </w:rPr>
        <w:t xml:space="preserve"> C</w:t>
      </w:r>
      <w:r w:rsidRPr="00ED7D77">
        <w:rPr>
          <w:rFonts w:ascii="Arial" w:hAnsi="Arial" w:cs="Arial"/>
          <w:sz w:val="20"/>
          <w:szCs w:val="20"/>
        </w:rPr>
        <w:t xml:space="preserve">onsultable en el Libro 22, Septiembre de 2015, Tomo III de la Gaceta del Semanario Judicial de la Federación, página 1683.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2AD3" w14:textId="77777777" w:rsidR="00FF02AB" w:rsidRDefault="00FF02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70F3" w14:textId="1556D636" w:rsidR="00104A9B" w:rsidRPr="00FE1099" w:rsidRDefault="00FF02AB" w:rsidP="00447370">
    <w:pPr>
      <w:pStyle w:val="Encabezado"/>
      <w:jc w:val="right"/>
      <w:rPr>
        <w:rFonts w:ascii="Arial Nova" w:hAnsi="Arial Nova" w:cs="Arial"/>
        <w:b/>
        <w:sz w:val="16"/>
        <w:szCs w:val="16"/>
      </w:rPr>
    </w:pPr>
    <w:sdt>
      <w:sdtPr>
        <w:rPr>
          <w:rFonts w:ascii="Arial Nova" w:hAnsi="Arial Nova" w:cs="Arial"/>
          <w:b/>
          <w:sz w:val="16"/>
          <w:szCs w:val="16"/>
        </w:rPr>
        <w:id w:val="769043750"/>
        <w:docPartObj>
          <w:docPartGallery w:val="Watermarks"/>
          <w:docPartUnique/>
        </w:docPartObj>
      </w:sdtPr>
      <w:sdtContent>
        <w:r w:rsidRPr="00FF02AB">
          <w:rPr>
            <w:rFonts w:ascii="Arial Nova" w:hAnsi="Arial Nova" w:cs="Arial"/>
            <w:b/>
            <w:sz w:val="16"/>
            <w:szCs w:val="16"/>
          </w:rPr>
          <w:pict w14:anchorId="0911C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79689" o:spid="_x0000_s2049" type="#_x0000_t136" style="position:absolute;left:0;text-align:left;margin-left:0;margin-top:0;width:505.2pt;height:137.75pt;rotation:315;z-index:-251654144;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sdtContent>
    </w:sdt>
    <w:sdt>
      <w:sdtPr>
        <w:rPr>
          <w:rFonts w:ascii="Arial Nova" w:hAnsi="Arial Nova" w:cs="Arial"/>
          <w:b/>
          <w:sz w:val="16"/>
          <w:szCs w:val="16"/>
        </w:rPr>
        <w:id w:val="1396700570"/>
        <w:docPartObj>
          <w:docPartGallery w:val="Page Numbers (Margins)"/>
          <w:docPartUnique/>
        </w:docPartObj>
      </w:sdtPr>
      <w:sdtEndPr/>
      <w:sdtContent>
        <w:r w:rsidR="00104A9B" w:rsidRPr="00C91517">
          <w:rPr>
            <w:rFonts w:ascii="Arial Nova" w:hAnsi="Arial Nova" w:cs="Arial"/>
            <w:b/>
            <w:noProof/>
            <w:sz w:val="16"/>
            <w:szCs w:val="16"/>
          </w:rPr>
          <mc:AlternateContent>
            <mc:Choice Requires="wps">
              <w:drawing>
                <wp:anchor distT="0" distB="0" distL="114300" distR="114300" simplePos="0" relativeHeight="251660288" behindDoc="0" locked="0" layoutInCell="0" allowOverlap="1" wp14:anchorId="1CB22E53" wp14:editId="7AA7E04B">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D071EE9" w14:textId="77777777" w:rsidR="00104A9B" w:rsidRDefault="00104A9B">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Pr="00A81D71">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22E53" id="Rectángulo 1" o:spid="_x0000_s1026"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D071EE9" w14:textId="77777777" w:rsidR="00104A9B" w:rsidRDefault="00104A9B">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Pr="00A81D71">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104A9B" w:rsidRPr="00FE1099">
      <w:rPr>
        <w:rFonts w:ascii="Arial Nova" w:hAnsi="Arial Nova"/>
        <w:noProof/>
        <w:sz w:val="16"/>
        <w:szCs w:val="16"/>
      </w:rPr>
      <w:drawing>
        <wp:anchor distT="0" distB="0" distL="114300" distR="114300" simplePos="0" relativeHeight="251659264" behindDoc="0" locked="0" layoutInCell="1" allowOverlap="1" wp14:anchorId="15549BA7" wp14:editId="69E419A0">
          <wp:simplePos x="0" y="0"/>
          <wp:positionH relativeFrom="margin">
            <wp:align>left</wp:align>
          </wp:positionH>
          <wp:positionV relativeFrom="paragraph">
            <wp:posOffset>10017</wp:posOffset>
          </wp:positionV>
          <wp:extent cx="1180011" cy="1404745"/>
          <wp:effectExtent l="0" t="0" r="1270" b="508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sidR="00104A9B" w:rsidRPr="00FE1099">
      <w:rPr>
        <w:rFonts w:ascii="Arial Nova" w:hAnsi="Arial Nova" w:cs="Arial"/>
        <w:b/>
        <w:sz w:val="16"/>
        <w:szCs w:val="16"/>
      </w:rPr>
      <w:t xml:space="preserve"> </w:t>
    </w:r>
  </w:p>
  <w:p w14:paraId="6120E2E2" w14:textId="77777777" w:rsidR="00104A9B" w:rsidRDefault="00104A9B" w:rsidP="00447370">
    <w:pPr>
      <w:pStyle w:val="Encabezado"/>
      <w:jc w:val="center"/>
      <w:rPr>
        <w:rFonts w:ascii="Arial" w:hAnsi="Arial" w:cs="Arial"/>
        <w:b/>
        <w:sz w:val="18"/>
        <w:szCs w:val="18"/>
      </w:rPr>
    </w:pPr>
  </w:p>
  <w:p w14:paraId="45ACD251" w14:textId="77777777" w:rsidR="00104A9B" w:rsidRPr="00A46BD3" w:rsidRDefault="00104A9B" w:rsidP="00447370">
    <w:pPr>
      <w:pStyle w:val="Encabezado"/>
      <w:rPr>
        <w:rFonts w:ascii="Century Gothic" w:hAnsi="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CD634" w14:textId="77777777" w:rsidR="00FF02AB" w:rsidRDefault="00FF02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158C4"/>
    <w:multiLevelType w:val="hybridMultilevel"/>
    <w:tmpl w:val="340C08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5356F1"/>
    <w:multiLevelType w:val="hybridMultilevel"/>
    <w:tmpl w:val="8820BC62"/>
    <w:lvl w:ilvl="0" w:tplc="7FEAA93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CA2528"/>
    <w:multiLevelType w:val="hybridMultilevel"/>
    <w:tmpl w:val="AB5C6826"/>
    <w:lvl w:ilvl="0" w:tplc="05665C6A">
      <w:start w:val="1"/>
      <w:numFmt w:val="lowerLetter"/>
      <w:lvlText w:val="%1."/>
      <w:lvlJc w:val="left"/>
      <w:pPr>
        <w:ind w:left="720" w:hanging="360"/>
      </w:pPr>
      <w:rPr>
        <w:rFonts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776A21"/>
    <w:multiLevelType w:val="hybridMultilevel"/>
    <w:tmpl w:val="97FAF5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675988"/>
    <w:multiLevelType w:val="hybridMultilevel"/>
    <w:tmpl w:val="552856BC"/>
    <w:lvl w:ilvl="0" w:tplc="C24C7DAC">
      <w:start w:val="1"/>
      <w:numFmt w:val="lowerLetter"/>
      <w:lvlText w:val="%1)"/>
      <w:lvlJc w:val="left"/>
      <w:pPr>
        <w:ind w:left="862" w:hanging="360"/>
      </w:pPr>
      <w:rPr>
        <w:rFonts w:hint="default"/>
        <w:b/>
      </w:r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4E804BB1"/>
    <w:multiLevelType w:val="hybridMultilevel"/>
    <w:tmpl w:val="280A70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3A5DA5"/>
    <w:multiLevelType w:val="hybridMultilevel"/>
    <w:tmpl w:val="1D745530"/>
    <w:lvl w:ilvl="0" w:tplc="8E70ECD2">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565D71"/>
    <w:multiLevelType w:val="hybridMultilevel"/>
    <w:tmpl w:val="F80A4672"/>
    <w:lvl w:ilvl="0" w:tplc="070CC8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723AF0"/>
    <w:multiLevelType w:val="multilevel"/>
    <w:tmpl w:val="9AD207C0"/>
    <w:lvl w:ilvl="0">
      <w:start w:val="1"/>
      <w:numFmt w:val="decimal"/>
      <w:lvlText w:val="%1."/>
      <w:lvlJc w:val="left"/>
      <w:pPr>
        <w:ind w:left="502" w:hanging="360"/>
      </w:pPr>
      <w:rPr>
        <w:rFonts w:hint="default"/>
        <w:b/>
      </w:rPr>
    </w:lvl>
    <w:lvl w:ilvl="1">
      <w:start w:val="1"/>
      <w:numFmt w:val="decimal"/>
      <w:isLgl/>
      <w:lvlText w:val="%1.%2."/>
      <w:lvlJc w:val="left"/>
      <w:pPr>
        <w:ind w:left="720" w:hanging="720"/>
      </w:pPr>
      <w:rPr>
        <w:rFonts w:eastAsia="Arial" w:hint="default"/>
        <w:b/>
      </w:rPr>
    </w:lvl>
    <w:lvl w:ilvl="2">
      <w:start w:val="1"/>
      <w:numFmt w:val="decimal"/>
      <w:isLgl/>
      <w:lvlText w:val="%1.%2.%3."/>
      <w:lvlJc w:val="left"/>
      <w:pPr>
        <w:ind w:left="1080" w:hanging="720"/>
      </w:pPr>
      <w:rPr>
        <w:rFonts w:eastAsia="Arial" w:hint="default"/>
        <w:b/>
      </w:rPr>
    </w:lvl>
    <w:lvl w:ilvl="3">
      <w:start w:val="1"/>
      <w:numFmt w:val="decimal"/>
      <w:isLgl/>
      <w:lvlText w:val="%1.%2.%3.%4."/>
      <w:lvlJc w:val="left"/>
      <w:pPr>
        <w:ind w:left="1440" w:hanging="108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800" w:hanging="144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2160" w:hanging="180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9" w15:restartNumberingAfterBreak="0">
    <w:nsid w:val="74C043AA"/>
    <w:multiLevelType w:val="hybridMultilevel"/>
    <w:tmpl w:val="9D22B2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120CA3"/>
    <w:multiLevelType w:val="hybridMultilevel"/>
    <w:tmpl w:val="DB8044A4"/>
    <w:lvl w:ilvl="0" w:tplc="D50E1B72">
      <w:start w:val="1"/>
      <w:numFmt w:val="upperLetter"/>
      <w:lvlText w:val="%1."/>
      <w:lvlJc w:val="left"/>
      <w:pPr>
        <w:ind w:left="1068" w:hanging="360"/>
      </w:pPr>
      <w:rPr>
        <w:rFonts w:ascii="Arial Nova" w:eastAsia="Times New Roman" w:hAnsi="Arial Nova" w:cs="Arial"/>
        <w:b/>
        <w:bCs w:val="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7A7E12F6"/>
    <w:multiLevelType w:val="hybridMultilevel"/>
    <w:tmpl w:val="26BA1B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0"/>
  </w:num>
  <w:num w:numId="5">
    <w:abstractNumId w:val="7"/>
  </w:num>
  <w:num w:numId="6">
    <w:abstractNumId w:val="3"/>
  </w:num>
  <w:num w:numId="7">
    <w:abstractNumId w:val="9"/>
  </w:num>
  <w:num w:numId="8">
    <w:abstractNumId w:val="4"/>
  </w:num>
  <w:num w:numId="9">
    <w:abstractNumId w:val="2"/>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06"/>
    <w:rsid w:val="000009C6"/>
    <w:rsid w:val="0000259E"/>
    <w:rsid w:val="000060DD"/>
    <w:rsid w:val="00011642"/>
    <w:rsid w:val="00013630"/>
    <w:rsid w:val="00015CFE"/>
    <w:rsid w:val="0002200D"/>
    <w:rsid w:val="00024087"/>
    <w:rsid w:val="00025D11"/>
    <w:rsid w:val="000276E8"/>
    <w:rsid w:val="00030430"/>
    <w:rsid w:val="0003490F"/>
    <w:rsid w:val="00036942"/>
    <w:rsid w:val="00041508"/>
    <w:rsid w:val="0004152C"/>
    <w:rsid w:val="00041C44"/>
    <w:rsid w:val="000440B5"/>
    <w:rsid w:val="00044FE5"/>
    <w:rsid w:val="0004784C"/>
    <w:rsid w:val="00056383"/>
    <w:rsid w:val="00056FD9"/>
    <w:rsid w:val="000572B0"/>
    <w:rsid w:val="00060C3C"/>
    <w:rsid w:val="0006328A"/>
    <w:rsid w:val="00072D59"/>
    <w:rsid w:val="00075034"/>
    <w:rsid w:val="000762F8"/>
    <w:rsid w:val="00076963"/>
    <w:rsid w:val="0007703E"/>
    <w:rsid w:val="00081CDA"/>
    <w:rsid w:val="00083A21"/>
    <w:rsid w:val="00085CEF"/>
    <w:rsid w:val="00085E2F"/>
    <w:rsid w:val="00085F13"/>
    <w:rsid w:val="00090E8B"/>
    <w:rsid w:val="00091F4E"/>
    <w:rsid w:val="000A1937"/>
    <w:rsid w:val="000A58EB"/>
    <w:rsid w:val="000B1A87"/>
    <w:rsid w:val="000C6270"/>
    <w:rsid w:val="000D4ADC"/>
    <w:rsid w:val="000D4B6F"/>
    <w:rsid w:val="000E4C54"/>
    <w:rsid w:val="000E5EF3"/>
    <w:rsid w:val="000F01DA"/>
    <w:rsid w:val="000F0E0A"/>
    <w:rsid w:val="000F29B1"/>
    <w:rsid w:val="000F412B"/>
    <w:rsid w:val="000F47FA"/>
    <w:rsid w:val="000F54A3"/>
    <w:rsid w:val="000F69E8"/>
    <w:rsid w:val="000F7A49"/>
    <w:rsid w:val="00104A9B"/>
    <w:rsid w:val="00106FFA"/>
    <w:rsid w:val="00112029"/>
    <w:rsid w:val="00115E51"/>
    <w:rsid w:val="00116025"/>
    <w:rsid w:val="00123E40"/>
    <w:rsid w:val="001244B1"/>
    <w:rsid w:val="00133D48"/>
    <w:rsid w:val="00142E99"/>
    <w:rsid w:val="00147FCF"/>
    <w:rsid w:val="00153159"/>
    <w:rsid w:val="00155A24"/>
    <w:rsid w:val="00164EAE"/>
    <w:rsid w:val="001659F0"/>
    <w:rsid w:val="001715E3"/>
    <w:rsid w:val="001718F2"/>
    <w:rsid w:val="001753B0"/>
    <w:rsid w:val="00175FD2"/>
    <w:rsid w:val="001821FB"/>
    <w:rsid w:val="00183F1D"/>
    <w:rsid w:val="001903B3"/>
    <w:rsid w:val="001934E7"/>
    <w:rsid w:val="00193CE6"/>
    <w:rsid w:val="001A46D4"/>
    <w:rsid w:val="001A474F"/>
    <w:rsid w:val="001B326B"/>
    <w:rsid w:val="001B36DC"/>
    <w:rsid w:val="001B6B2B"/>
    <w:rsid w:val="001B70CD"/>
    <w:rsid w:val="001C11F1"/>
    <w:rsid w:val="001C4388"/>
    <w:rsid w:val="001C4BAA"/>
    <w:rsid w:val="001C646A"/>
    <w:rsid w:val="001D2506"/>
    <w:rsid w:val="001D75E0"/>
    <w:rsid w:val="001E0E48"/>
    <w:rsid w:val="001E1021"/>
    <w:rsid w:val="001F756B"/>
    <w:rsid w:val="00206783"/>
    <w:rsid w:val="00211C67"/>
    <w:rsid w:val="00213E73"/>
    <w:rsid w:val="002219EC"/>
    <w:rsid w:val="00221EAD"/>
    <w:rsid w:val="0022436F"/>
    <w:rsid w:val="00226D18"/>
    <w:rsid w:val="00233AF9"/>
    <w:rsid w:val="00237494"/>
    <w:rsid w:val="00241A3A"/>
    <w:rsid w:val="0025374D"/>
    <w:rsid w:val="002558B0"/>
    <w:rsid w:val="00261315"/>
    <w:rsid w:val="00271C5F"/>
    <w:rsid w:val="0027277C"/>
    <w:rsid w:val="00276E89"/>
    <w:rsid w:val="002873D2"/>
    <w:rsid w:val="0029732B"/>
    <w:rsid w:val="002A0109"/>
    <w:rsid w:val="002A1E5E"/>
    <w:rsid w:val="002A7AD7"/>
    <w:rsid w:val="002B4170"/>
    <w:rsid w:val="002C4EB6"/>
    <w:rsid w:val="002C68B3"/>
    <w:rsid w:val="002D20D6"/>
    <w:rsid w:val="002D4B8A"/>
    <w:rsid w:val="002D4F12"/>
    <w:rsid w:val="002E2FA2"/>
    <w:rsid w:val="002F2D39"/>
    <w:rsid w:val="002F5E72"/>
    <w:rsid w:val="002F64EE"/>
    <w:rsid w:val="003026AA"/>
    <w:rsid w:val="0030290C"/>
    <w:rsid w:val="00307D98"/>
    <w:rsid w:val="003146B4"/>
    <w:rsid w:val="00322925"/>
    <w:rsid w:val="00326472"/>
    <w:rsid w:val="00327206"/>
    <w:rsid w:val="00331B8A"/>
    <w:rsid w:val="00332781"/>
    <w:rsid w:val="00345B3F"/>
    <w:rsid w:val="00350546"/>
    <w:rsid w:val="00351046"/>
    <w:rsid w:val="0036302D"/>
    <w:rsid w:val="00367216"/>
    <w:rsid w:val="003770FD"/>
    <w:rsid w:val="003777C8"/>
    <w:rsid w:val="00384B25"/>
    <w:rsid w:val="003851E2"/>
    <w:rsid w:val="0038788A"/>
    <w:rsid w:val="003909C0"/>
    <w:rsid w:val="00391640"/>
    <w:rsid w:val="003A0F88"/>
    <w:rsid w:val="003A15FF"/>
    <w:rsid w:val="003A431D"/>
    <w:rsid w:val="003A6F0E"/>
    <w:rsid w:val="003B0788"/>
    <w:rsid w:val="003B40D3"/>
    <w:rsid w:val="003B7EF2"/>
    <w:rsid w:val="003C1D04"/>
    <w:rsid w:val="003C6547"/>
    <w:rsid w:val="003D4EA4"/>
    <w:rsid w:val="003D4F2A"/>
    <w:rsid w:val="003E34D0"/>
    <w:rsid w:val="003E443B"/>
    <w:rsid w:val="003F1443"/>
    <w:rsid w:val="00405645"/>
    <w:rsid w:val="0041341A"/>
    <w:rsid w:val="00417FAA"/>
    <w:rsid w:val="0042107B"/>
    <w:rsid w:val="00431A99"/>
    <w:rsid w:val="004330B5"/>
    <w:rsid w:val="004365F0"/>
    <w:rsid w:val="00436E7D"/>
    <w:rsid w:val="00447370"/>
    <w:rsid w:val="0045009C"/>
    <w:rsid w:val="00452FD5"/>
    <w:rsid w:val="004533B4"/>
    <w:rsid w:val="00461C57"/>
    <w:rsid w:val="004641B4"/>
    <w:rsid w:val="004749A2"/>
    <w:rsid w:val="00495E3D"/>
    <w:rsid w:val="004A1BFF"/>
    <w:rsid w:val="004A2255"/>
    <w:rsid w:val="004A5683"/>
    <w:rsid w:val="004B2341"/>
    <w:rsid w:val="004B4EF5"/>
    <w:rsid w:val="004B656C"/>
    <w:rsid w:val="004C0363"/>
    <w:rsid w:val="004C2FFE"/>
    <w:rsid w:val="004C3652"/>
    <w:rsid w:val="004C6C3C"/>
    <w:rsid w:val="004D4204"/>
    <w:rsid w:val="004D6341"/>
    <w:rsid w:val="004E29C7"/>
    <w:rsid w:val="004E768A"/>
    <w:rsid w:val="004F3372"/>
    <w:rsid w:val="004F61F5"/>
    <w:rsid w:val="004F71CE"/>
    <w:rsid w:val="00502512"/>
    <w:rsid w:val="00502AF7"/>
    <w:rsid w:val="00506391"/>
    <w:rsid w:val="00506E67"/>
    <w:rsid w:val="005127B7"/>
    <w:rsid w:val="00530155"/>
    <w:rsid w:val="00534A9A"/>
    <w:rsid w:val="00536BE3"/>
    <w:rsid w:val="0054082D"/>
    <w:rsid w:val="00542F78"/>
    <w:rsid w:val="0056173C"/>
    <w:rsid w:val="005661CE"/>
    <w:rsid w:val="00571A95"/>
    <w:rsid w:val="00572B62"/>
    <w:rsid w:val="005762E1"/>
    <w:rsid w:val="005764BA"/>
    <w:rsid w:val="00582800"/>
    <w:rsid w:val="00597A61"/>
    <w:rsid w:val="005A1B4C"/>
    <w:rsid w:val="005A4323"/>
    <w:rsid w:val="005A5622"/>
    <w:rsid w:val="005A5946"/>
    <w:rsid w:val="005A7B25"/>
    <w:rsid w:val="005B4DF3"/>
    <w:rsid w:val="005B6621"/>
    <w:rsid w:val="005C14EC"/>
    <w:rsid w:val="005C359E"/>
    <w:rsid w:val="005C3F29"/>
    <w:rsid w:val="005C4744"/>
    <w:rsid w:val="005C7B4F"/>
    <w:rsid w:val="005D1C3A"/>
    <w:rsid w:val="005D5AA1"/>
    <w:rsid w:val="005D7865"/>
    <w:rsid w:val="005E0BC8"/>
    <w:rsid w:val="005E1F0C"/>
    <w:rsid w:val="005E4D17"/>
    <w:rsid w:val="005E58E0"/>
    <w:rsid w:val="005F32B9"/>
    <w:rsid w:val="005F76EF"/>
    <w:rsid w:val="005F7BA8"/>
    <w:rsid w:val="00600443"/>
    <w:rsid w:val="006106DE"/>
    <w:rsid w:val="00610C95"/>
    <w:rsid w:val="006163A1"/>
    <w:rsid w:val="00620AFD"/>
    <w:rsid w:val="006219B5"/>
    <w:rsid w:val="006302AE"/>
    <w:rsid w:val="0063220F"/>
    <w:rsid w:val="00633938"/>
    <w:rsid w:val="00637524"/>
    <w:rsid w:val="00641AB2"/>
    <w:rsid w:val="00641D79"/>
    <w:rsid w:val="00643C0C"/>
    <w:rsid w:val="00646A58"/>
    <w:rsid w:val="00646DEB"/>
    <w:rsid w:val="006639A7"/>
    <w:rsid w:val="00665836"/>
    <w:rsid w:val="00674C49"/>
    <w:rsid w:val="00674EE8"/>
    <w:rsid w:val="00683B57"/>
    <w:rsid w:val="00684438"/>
    <w:rsid w:val="00686C77"/>
    <w:rsid w:val="00687A2B"/>
    <w:rsid w:val="006902F9"/>
    <w:rsid w:val="00690EF0"/>
    <w:rsid w:val="00691FF3"/>
    <w:rsid w:val="00695755"/>
    <w:rsid w:val="00697875"/>
    <w:rsid w:val="006A2D94"/>
    <w:rsid w:val="006A5CDE"/>
    <w:rsid w:val="006A5D2B"/>
    <w:rsid w:val="006B0421"/>
    <w:rsid w:val="006C04A0"/>
    <w:rsid w:val="006C54A0"/>
    <w:rsid w:val="006D0DE5"/>
    <w:rsid w:val="006E1664"/>
    <w:rsid w:val="006E30FA"/>
    <w:rsid w:val="006E65BB"/>
    <w:rsid w:val="006F0552"/>
    <w:rsid w:val="006F41F6"/>
    <w:rsid w:val="006F49E1"/>
    <w:rsid w:val="00702125"/>
    <w:rsid w:val="00702DC7"/>
    <w:rsid w:val="0070547B"/>
    <w:rsid w:val="00711430"/>
    <w:rsid w:val="0071781D"/>
    <w:rsid w:val="00730641"/>
    <w:rsid w:val="007417F7"/>
    <w:rsid w:val="00744698"/>
    <w:rsid w:val="00745351"/>
    <w:rsid w:val="007527C1"/>
    <w:rsid w:val="00754CD7"/>
    <w:rsid w:val="00754DD2"/>
    <w:rsid w:val="00760DE7"/>
    <w:rsid w:val="007617BF"/>
    <w:rsid w:val="00764747"/>
    <w:rsid w:val="007701CE"/>
    <w:rsid w:val="007738C9"/>
    <w:rsid w:val="00783168"/>
    <w:rsid w:val="00783A8B"/>
    <w:rsid w:val="00786FC2"/>
    <w:rsid w:val="007944F4"/>
    <w:rsid w:val="007A4720"/>
    <w:rsid w:val="007A4EDD"/>
    <w:rsid w:val="007A6505"/>
    <w:rsid w:val="007C2571"/>
    <w:rsid w:val="007C3405"/>
    <w:rsid w:val="007C421C"/>
    <w:rsid w:val="007C5D06"/>
    <w:rsid w:val="007D7135"/>
    <w:rsid w:val="007E190D"/>
    <w:rsid w:val="007E59A4"/>
    <w:rsid w:val="007E7E3C"/>
    <w:rsid w:val="007F161C"/>
    <w:rsid w:val="007F2216"/>
    <w:rsid w:val="007F22A4"/>
    <w:rsid w:val="007F3165"/>
    <w:rsid w:val="0080232B"/>
    <w:rsid w:val="0080405A"/>
    <w:rsid w:val="008055A6"/>
    <w:rsid w:val="00806266"/>
    <w:rsid w:val="00807374"/>
    <w:rsid w:val="0081431B"/>
    <w:rsid w:val="00816392"/>
    <w:rsid w:val="008229CF"/>
    <w:rsid w:val="00835A02"/>
    <w:rsid w:val="0084011F"/>
    <w:rsid w:val="008427D6"/>
    <w:rsid w:val="00847D6C"/>
    <w:rsid w:val="008510C1"/>
    <w:rsid w:val="00852218"/>
    <w:rsid w:val="008558A1"/>
    <w:rsid w:val="008562C9"/>
    <w:rsid w:val="008605FD"/>
    <w:rsid w:val="00863866"/>
    <w:rsid w:val="008652CB"/>
    <w:rsid w:val="00867841"/>
    <w:rsid w:val="00872A4F"/>
    <w:rsid w:val="00872B91"/>
    <w:rsid w:val="00875E7F"/>
    <w:rsid w:val="00881F29"/>
    <w:rsid w:val="008830FC"/>
    <w:rsid w:val="008842DD"/>
    <w:rsid w:val="00884ECF"/>
    <w:rsid w:val="00892FC8"/>
    <w:rsid w:val="00894129"/>
    <w:rsid w:val="008969E7"/>
    <w:rsid w:val="00897F4E"/>
    <w:rsid w:val="008A009C"/>
    <w:rsid w:val="008A1325"/>
    <w:rsid w:val="008A21B3"/>
    <w:rsid w:val="008A2F25"/>
    <w:rsid w:val="008A38B2"/>
    <w:rsid w:val="008A39DD"/>
    <w:rsid w:val="008A7455"/>
    <w:rsid w:val="008A7DD3"/>
    <w:rsid w:val="008B10F0"/>
    <w:rsid w:val="008B263E"/>
    <w:rsid w:val="008C7262"/>
    <w:rsid w:val="008D1133"/>
    <w:rsid w:val="008E093F"/>
    <w:rsid w:val="008E1A9E"/>
    <w:rsid w:val="008E4543"/>
    <w:rsid w:val="008F4A10"/>
    <w:rsid w:val="008F68FC"/>
    <w:rsid w:val="008F6970"/>
    <w:rsid w:val="008F74FE"/>
    <w:rsid w:val="00900FA5"/>
    <w:rsid w:val="00911C76"/>
    <w:rsid w:val="009138E5"/>
    <w:rsid w:val="00917F26"/>
    <w:rsid w:val="00923C4D"/>
    <w:rsid w:val="009258AF"/>
    <w:rsid w:val="009335A4"/>
    <w:rsid w:val="009361A7"/>
    <w:rsid w:val="00945BB7"/>
    <w:rsid w:val="0094670F"/>
    <w:rsid w:val="00947F1D"/>
    <w:rsid w:val="00954F76"/>
    <w:rsid w:val="009555F3"/>
    <w:rsid w:val="009700E0"/>
    <w:rsid w:val="00975F22"/>
    <w:rsid w:val="00977611"/>
    <w:rsid w:val="00981D2D"/>
    <w:rsid w:val="009867AB"/>
    <w:rsid w:val="0099556A"/>
    <w:rsid w:val="009966A7"/>
    <w:rsid w:val="00996816"/>
    <w:rsid w:val="009A1B3E"/>
    <w:rsid w:val="009A3279"/>
    <w:rsid w:val="009A5CAC"/>
    <w:rsid w:val="009C1FFD"/>
    <w:rsid w:val="009C7176"/>
    <w:rsid w:val="009D38B7"/>
    <w:rsid w:val="009D5CE0"/>
    <w:rsid w:val="009D6D04"/>
    <w:rsid w:val="009E2DED"/>
    <w:rsid w:val="009E3324"/>
    <w:rsid w:val="009E5922"/>
    <w:rsid w:val="009F5328"/>
    <w:rsid w:val="009F5ACC"/>
    <w:rsid w:val="009F79A9"/>
    <w:rsid w:val="00A0218A"/>
    <w:rsid w:val="00A10097"/>
    <w:rsid w:val="00A16519"/>
    <w:rsid w:val="00A209F7"/>
    <w:rsid w:val="00A20C95"/>
    <w:rsid w:val="00A246E3"/>
    <w:rsid w:val="00A27C7E"/>
    <w:rsid w:val="00A35511"/>
    <w:rsid w:val="00A3788F"/>
    <w:rsid w:val="00A45700"/>
    <w:rsid w:val="00A504B0"/>
    <w:rsid w:val="00A53747"/>
    <w:rsid w:val="00A55EE9"/>
    <w:rsid w:val="00A61261"/>
    <w:rsid w:val="00A6460A"/>
    <w:rsid w:val="00A64696"/>
    <w:rsid w:val="00A65D5E"/>
    <w:rsid w:val="00A67AB1"/>
    <w:rsid w:val="00A76D1C"/>
    <w:rsid w:val="00A816E2"/>
    <w:rsid w:val="00A81D71"/>
    <w:rsid w:val="00A843AB"/>
    <w:rsid w:val="00A845A9"/>
    <w:rsid w:val="00A84890"/>
    <w:rsid w:val="00A91F31"/>
    <w:rsid w:val="00A93DB0"/>
    <w:rsid w:val="00AA1868"/>
    <w:rsid w:val="00AA25A0"/>
    <w:rsid w:val="00AA27FF"/>
    <w:rsid w:val="00AA2813"/>
    <w:rsid w:val="00AA38B1"/>
    <w:rsid w:val="00AB0A27"/>
    <w:rsid w:val="00AB34E8"/>
    <w:rsid w:val="00AB44C2"/>
    <w:rsid w:val="00AC1A81"/>
    <w:rsid w:val="00AC3D1D"/>
    <w:rsid w:val="00AC56A9"/>
    <w:rsid w:val="00AC686D"/>
    <w:rsid w:val="00AD09B8"/>
    <w:rsid w:val="00AD19FC"/>
    <w:rsid w:val="00AD2B87"/>
    <w:rsid w:val="00AD4E51"/>
    <w:rsid w:val="00AE1C8A"/>
    <w:rsid w:val="00AE368B"/>
    <w:rsid w:val="00AE3B3C"/>
    <w:rsid w:val="00AE3C97"/>
    <w:rsid w:val="00AF1570"/>
    <w:rsid w:val="00AF1D24"/>
    <w:rsid w:val="00B00E4B"/>
    <w:rsid w:val="00B02C37"/>
    <w:rsid w:val="00B04A81"/>
    <w:rsid w:val="00B10C55"/>
    <w:rsid w:val="00B12DEA"/>
    <w:rsid w:val="00B12F72"/>
    <w:rsid w:val="00B224E5"/>
    <w:rsid w:val="00B26E26"/>
    <w:rsid w:val="00B273D2"/>
    <w:rsid w:val="00B41A20"/>
    <w:rsid w:val="00B45312"/>
    <w:rsid w:val="00B46182"/>
    <w:rsid w:val="00B471B9"/>
    <w:rsid w:val="00B51B79"/>
    <w:rsid w:val="00B51C5F"/>
    <w:rsid w:val="00B539AA"/>
    <w:rsid w:val="00B574B8"/>
    <w:rsid w:val="00B61C62"/>
    <w:rsid w:val="00B62E1F"/>
    <w:rsid w:val="00B64E39"/>
    <w:rsid w:val="00B7009F"/>
    <w:rsid w:val="00B73F99"/>
    <w:rsid w:val="00B75696"/>
    <w:rsid w:val="00B8186C"/>
    <w:rsid w:val="00B81B81"/>
    <w:rsid w:val="00B83F08"/>
    <w:rsid w:val="00B86D91"/>
    <w:rsid w:val="00B92610"/>
    <w:rsid w:val="00B926BA"/>
    <w:rsid w:val="00B9298A"/>
    <w:rsid w:val="00B940D2"/>
    <w:rsid w:val="00BA0D02"/>
    <w:rsid w:val="00BA5D9C"/>
    <w:rsid w:val="00BA78BE"/>
    <w:rsid w:val="00BB1D52"/>
    <w:rsid w:val="00BD1BAD"/>
    <w:rsid w:val="00BD4C32"/>
    <w:rsid w:val="00BD5540"/>
    <w:rsid w:val="00BE018D"/>
    <w:rsid w:val="00BE19EB"/>
    <w:rsid w:val="00BE45D8"/>
    <w:rsid w:val="00BE4C74"/>
    <w:rsid w:val="00BE71B9"/>
    <w:rsid w:val="00BF2FC8"/>
    <w:rsid w:val="00BF772B"/>
    <w:rsid w:val="00C0056F"/>
    <w:rsid w:val="00C03775"/>
    <w:rsid w:val="00C03B7E"/>
    <w:rsid w:val="00C0428F"/>
    <w:rsid w:val="00C05588"/>
    <w:rsid w:val="00C1146B"/>
    <w:rsid w:val="00C158CB"/>
    <w:rsid w:val="00C17575"/>
    <w:rsid w:val="00C1789C"/>
    <w:rsid w:val="00C23EBC"/>
    <w:rsid w:val="00C32BF9"/>
    <w:rsid w:val="00C34CE7"/>
    <w:rsid w:val="00C42341"/>
    <w:rsid w:val="00C434A4"/>
    <w:rsid w:val="00C4638A"/>
    <w:rsid w:val="00C46BA8"/>
    <w:rsid w:val="00C52EC1"/>
    <w:rsid w:val="00C547DF"/>
    <w:rsid w:val="00C60FC7"/>
    <w:rsid w:val="00C61B5B"/>
    <w:rsid w:val="00C6467F"/>
    <w:rsid w:val="00C66BE6"/>
    <w:rsid w:val="00C710DC"/>
    <w:rsid w:val="00C7187F"/>
    <w:rsid w:val="00C75E28"/>
    <w:rsid w:val="00C76146"/>
    <w:rsid w:val="00C85E84"/>
    <w:rsid w:val="00C9728B"/>
    <w:rsid w:val="00CA03ED"/>
    <w:rsid w:val="00CA43E3"/>
    <w:rsid w:val="00CA4E99"/>
    <w:rsid w:val="00CA4EA1"/>
    <w:rsid w:val="00CB205C"/>
    <w:rsid w:val="00CB417D"/>
    <w:rsid w:val="00CB4492"/>
    <w:rsid w:val="00CB4786"/>
    <w:rsid w:val="00CB7D75"/>
    <w:rsid w:val="00CC1C14"/>
    <w:rsid w:val="00CC20EB"/>
    <w:rsid w:val="00CC5180"/>
    <w:rsid w:val="00CD6CD3"/>
    <w:rsid w:val="00CE0430"/>
    <w:rsid w:val="00CE1119"/>
    <w:rsid w:val="00CE294C"/>
    <w:rsid w:val="00CE380C"/>
    <w:rsid w:val="00D05FF9"/>
    <w:rsid w:val="00D07526"/>
    <w:rsid w:val="00D11D78"/>
    <w:rsid w:val="00D14189"/>
    <w:rsid w:val="00D26EF0"/>
    <w:rsid w:val="00D33AB2"/>
    <w:rsid w:val="00D371C8"/>
    <w:rsid w:val="00D42224"/>
    <w:rsid w:val="00D4771C"/>
    <w:rsid w:val="00D510BD"/>
    <w:rsid w:val="00D56FF3"/>
    <w:rsid w:val="00D577A5"/>
    <w:rsid w:val="00D635E1"/>
    <w:rsid w:val="00D8450E"/>
    <w:rsid w:val="00D849A1"/>
    <w:rsid w:val="00D864AF"/>
    <w:rsid w:val="00D90E74"/>
    <w:rsid w:val="00DA1BAD"/>
    <w:rsid w:val="00DA401A"/>
    <w:rsid w:val="00DA6FF7"/>
    <w:rsid w:val="00DB515E"/>
    <w:rsid w:val="00DB63C9"/>
    <w:rsid w:val="00DC147D"/>
    <w:rsid w:val="00DC7296"/>
    <w:rsid w:val="00DC7AFD"/>
    <w:rsid w:val="00DF5777"/>
    <w:rsid w:val="00DF62E4"/>
    <w:rsid w:val="00E033CC"/>
    <w:rsid w:val="00E051FD"/>
    <w:rsid w:val="00E07C03"/>
    <w:rsid w:val="00E1062C"/>
    <w:rsid w:val="00E20289"/>
    <w:rsid w:val="00E277C7"/>
    <w:rsid w:val="00E34109"/>
    <w:rsid w:val="00E34C26"/>
    <w:rsid w:val="00E65228"/>
    <w:rsid w:val="00E66EA1"/>
    <w:rsid w:val="00E67333"/>
    <w:rsid w:val="00E7280D"/>
    <w:rsid w:val="00E84979"/>
    <w:rsid w:val="00E9009A"/>
    <w:rsid w:val="00E90CA7"/>
    <w:rsid w:val="00E91500"/>
    <w:rsid w:val="00E935C9"/>
    <w:rsid w:val="00E9365B"/>
    <w:rsid w:val="00E957AB"/>
    <w:rsid w:val="00E95E8E"/>
    <w:rsid w:val="00E971D1"/>
    <w:rsid w:val="00EA6712"/>
    <w:rsid w:val="00EA73EB"/>
    <w:rsid w:val="00EB0FAC"/>
    <w:rsid w:val="00EB1AC6"/>
    <w:rsid w:val="00EB567A"/>
    <w:rsid w:val="00EC0C4F"/>
    <w:rsid w:val="00EC55AA"/>
    <w:rsid w:val="00EC6E18"/>
    <w:rsid w:val="00EC7F00"/>
    <w:rsid w:val="00ED3954"/>
    <w:rsid w:val="00ED50E3"/>
    <w:rsid w:val="00ED781D"/>
    <w:rsid w:val="00EE1067"/>
    <w:rsid w:val="00EE2E9B"/>
    <w:rsid w:val="00EE3291"/>
    <w:rsid w:val="00EF120D"/>
    <w:rsid w:val="00EF2A5E"/>
    <w:rsid w:val="00EF3500"/>
    <w:rsid w:val="00EF3894"/>
    <w:rsid w:val="00EF5E13"/>
    <w:rsid w:val="00F001D2"/>
    <w:rsid w:val="00F00FCE"/>
    <w:rsid w:val="00F0352C"/>
    <w:rsid w:val="00F047FD"/>
    <w:rsid w:val="00F063B6"/>
    <w:rsid w:val="00F07A0C"/>
    <w:rsid w:val="00F236DC"/>
    <w:rsid w:val="00F26A8D"/>
    <w:rsid w:val="00F26DD7"/>
    <w:rsid w:val="00F41205"/>
    <w:rsid w:val="00F42418"/>
    <w:rsid w:val="00F51B2F"/>
    <w:rsid w:val="00F53534"/>
    <w:rsid w:val="00F56FE3"/>
    <w:rsid w:val="00F705F6"/>
    <w:rsid w:val="00F74C44"/>
    <w:rsid w:val="00F7567D"/>
    <w:rsid w:val="00F75E6B"/>
    <w:rsid w:val="00F952D9"/>
    <w:rsid w:val="00F9615B"/>
    <w:rsid w:val="00F96CDA"/>
    <w:rsid w:val="00FA0934"/>
    <w:rsid w:val="00FA0D02"/>
    <w:rsid w:val="00FB3B51"/>
    <w:rsid w:val="00FC06FD"/>
    <w:rsid w:val="00FC2A0D"/>
    <w:rsid w:val="00FC5BA0"/>
    <w:rsid w:val="00FC6D0B"/>
    <w:rsid w:val="00FD0ECD"/>
    <w:rsid w:val="00FD0F32"/>
    <w:rsid w:val="00FD2800"/>
    <w:rsid w:val="00FD6011"/>
    <w:rsid w:val="00FD6CC2"/>
    <w:rsid w:val="00FE0281"/>
    <w:rsid w:val="00FE42E4"/>
    <w:rsid w:val="00FF02AB"/>
    <w:rsid w:val="00FF2B22"/>
    <w:rsid w:val="00FF510E"/>
    <w:rsid w:val="00FF5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2C8283"/>
  <w15:chartTrackingRefBased/>
  <w15:docId w15:val="{93EECFF4-6543-4181-BF7B-F1847F77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E5"/>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24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4E5"/>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B224E5"/>
    <w:pPr>
      <w:ind w:left="720"/>
      <w:contextualSpacing/>
    </w:p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B224E5"/>
    <w:rPr>
      <w:rFonts w:eastAsiaTheme="minorEastAsia"/>
      <w:lang w:eastAsia="es-MX"/>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B224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B224E5"/>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224E5"/>
    <w:rPr>
      <w:color w:val="0563C1" w:themeColor="hyperlink"/>
      <w:u w:val="single"/>
    </w:rPr>
  </w:style>
  <w:style w:type="table" w:styleId="Tablaconcuadrcula">
    <w:name w:val="Table Grid"/>
    <w:basedOn w:val="Tablanormal"/>
    <w:uiPriority w:val="39"/>
    <w:rsid w:val="00B22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1,FA Fu?notente"/>
    <w:basedOn w:val="Normal"/>
    <w:link w:val="TextonotapieCar"/>
    <w:uiPriority w:val="99"/>
    <w:unhideWhenUsed/>
    <w:qFormat/>
    <w:rsid w:val="00B224E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224E5"/>
    <w:rPr>
      <w:rFonts w:eastAsiaTheme="minorEastAsia"/>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
    <w:basedOn w:val="Fuentedeprrafopredeter"/>
    <w:link w:val="4GChar"/>
    <w:uiPriority w:val="99"/>
    <w:unhideWhenUsed/>
    <w:qFormat/>
    <w:rsid w:val="00B224E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224E5"/>
    <w:pPr>
      <w:spacing w:after="0" w:line="240" w:lineRule="auto"/>
      <w:jc w:val="both"/>
    </w:pPr>
    <w:rPr>
      <w:rFonts w:eastAsiaTheme="minorHAnsi"/>
      <w:vertAlign w:val="superscript"/>
      <w:lang w:eastAsia="en-US"/>
    </w:rPr>
  </w:style>
  <w:style w:type="paragraph" w:customStyle="1" w:styleId="texto">
    <w:name w:val="texto"/>
    <w:basedOn w:val="Normal"/>
    <w:rsid w:val="00DA401A"/>
    <w:pPr>
      <w:snapToGrid w:val="0"/>
      <w:spacing w:after="101" w:line="216" w:lineRule="exact"/>
      <w:ind w:firstLine="288"/>
      <w:jc w:val="both"/>
    </w:pPr>
    <w:rPr>
      <w:rFonts w:ascii="Arial" w:eastAsia="Times New Roman" w:hAnsi="Arial" w:cs="Arial"/>
      <w:sz w:val="18"/>
      <w:szCs w:val="18"/>
      <w:lang w:eastAsia="es-ES"/>
    </w:rPr>
  </w:style>
  <w:style w:type="character" w:styleId="Mencinsinresolver">
    <w:name w:val="Unresolved Mention"/>
    <w:basedOn w:val="Fuentedeprrafopredeter"/>
    <w:uiPriority w:val="99"/>
    <w:semiHidden/>
    <w:unhideWhenUsed/>
    <w:rsid w:val="00730641"/>
    <w:rPr>
      <w:color w:val="605E5C"/>
      <w:shd w:val="clear" w:color="auto" w:fill="E1DFDD"/>
    </w:rPr>
  </w:style>
  <w:style w:type="paragraph" w:styleId="Piedepgina">
    <w:name w:val="footer"/>
    <w:basedOn w:val="Normal"/>
    <w:link w:val="PiedepginaCar"/>
    <w:uiPriority w:val="99"/>
    <w:unhideWhenUsed/>
    <w:rsid w:val="00702D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2DC7"/>
    <w:rPr>
      <w:rFonts w:eastAsiaTheme="minorEastAsia"/>
      <w:lang w:eastAsia="es-MX"/>
    </w:rPr>
  </w:style>
  <w:style w:type="paragraph" w:styleId="Textonotaalfinal">
    <w:name w:val="endnote text"/>
    <w:basedOn w:val="Normal"/>
    <w:link w:val="TextonotaalfinalCar"/>
    <w:uiPriority w:val="99"/>
    <w:semiHidden/>
    <w:unhideWhenUsed/>
    <w:rsid w:val="00CE04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E0430"/>
    <w:rPr>
      <w:rFonts w:eastAsiaTheme="minorEastAsia"/>
      <w:sz w:val="20"/>
      <w:szCs w:val="20"/>
      <w:lang w:eastAsia="es-MX"/>
    </w:rPr>
  </w:style>
  <w:style w:type="character" w:styleId="Refdenotaalfinal">
    <w:name w:val="endnote reference"/>
    <w:basedOn w:val="Fuentedeprrafopredeter"/>
    <w:uiPriority w:val="99"/>
    <w:semiHidden/>
    <w:unhideWhenUsed/>
    <w:rsid w:val="00CE0430"/>
    <w:rPr>
      <w:vertAlign w:val="superscript"/>
    </w:rPr>
  </w:style>
  <w:style w:type="character" w:styleId="Hipervnculovisitado">
    <w:name w:val="FollowedHyperlink"/>
    <w:basedOn w:val="Fuentedeprrafopredeter"/>
    <w:uiPriority w:val="99"/>
    <w:semiHidden/>
    <w:unhideWhenUsed/>
    <w:rsid w:val="00DF62E4"/>
    <w:rPr>
      <w:color w:val="954F72" w:themeColor="followedHyperlink"/>
      <w:u w:val="single"/>
    </w:rPr>
  </w:style>
  <w:style w:type="paragraph" w:styleId="Textodeglobo">
    <w:name w:val="Balloon Text"/>
    <w:basedOn w:val="Normal"/>
    <w:link w:val="TextodegloboCar"/>
    <w:uiPriority w:val="99"/>
    <w:semiHidden/>
    <w:unhideWhenUsed/>
    <w:rsid w:val="003C65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6547"/>
    <w:rPr>
      <w:rFonts w:ascii="Segoe UI" w:eastAsiaTheme="minorEastAsia" w:hAnsi="Segoe UI" w:cs="Segoe UI"/>
      <w:sz w:val="18"/>
      <w:szCs w:val="18"/>
      <w:lang w:eastAsia="es-MX"/>
    </w:rPr>
  </w:style>
  <w:style w:type="paragraph" w:customStyle="1" w:styleId="Default">
    <w:name w:val="Default"/>
    <w:rsid w:val="005762E1"/>
    <w:pPr>
      <w:autoSpaceDE w:val="0"/>
      <w:autoSpaceDN w:val="0"/>
      <w:adjustRightInd w:val="0"/>
      <w:spacing w:after="0" w:line="240" w:lineRule="auto"/>
    </w:pPr>
    <w:rPr>
      <w:rFonts w:ascii="Calibri" w:hAnsi="Calibri" w:cs="Calibri"/>
      <w:color w:val="000000"/>
      <w:sz w:val="24"/>
      <w:szCs w:val="24"/>
    </w:rPr>
  </w:style>
  <w:style w:type="paragraph" w:customStyle="1" w:styleId="Estilo">
    <w:name w:val="Estilo"/>
    <w:basedOn w:val="Sinespaciado"/>
    <w:link w:val="EstiloCar"/>
    <w:qFormat/>
    <w:rsid w:val="00A64696"/>
    <w:pPr>
      <w:jc w:val="both"/>
    </w:pPr>
    <w:rPr>
      <w:rFonts w:ascii="Arial" w:eastAsiaTheme="minorHAnsi" w:hAnsi="Arial"/>
      <w:sz w:val="24"/>
      <w:lang w:eastAsia="en-US"/>
    </w:rPr>
  </w:style>
  <w:style w:type="character" w:customStyle="1" w:styleId="EstiloCar">
    <w:name w:val="Estilo Car"/>
    <w:basedOn w:val="Fuentedeprrafopredeter"/>
    <w:link w:val="Estilo"/>
    <w:rsid w:val="00A64696"/>
    <w:rPr>
      <w:rFonts w:ascii="Arial" w:hAnsi="Arial"/>
      <w:sz w:val="24"/>
    </w:rPr>
  </w:style>
  <w:style w:type="paragraph" w:styleId="Sinespaciado">
    <w:name w:val="No Spacing"/>
    <w:uiPriority w:val="1"/>
    <w:qFormat/>
    <w:rsid w:val="00A64696"/>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1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eeags.org.mx/1_prensa/AE_PEL2017_18.pdf" TargetMode="External"/><Relationship Id="rId1" Type="http://schemas.openxmlformats.org/officeDocument/2006/relationships/hyperlink" Target="https://www.ieeags.org.mx/detalles/archivos/orden_dia/4349_2019-06-0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BF003-3ED0-4659-9DFE-90B092C7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5444</Words>
  <Characters>29947</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2019-12-05T20:40:00Z</cp:lastPrinted>
  <dcterms:created xsi:type="dcterms:W3CDTF">2019-12-11T18:54:00Z</dcterms:created>
  <dcterms:modified xsi:type="dcterms:W3CDTF">2019-12-11T18:54:00Z</dcterms:modified>
</cp:coreProperties>
</file>